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A7DEF" w:rsidRDefault="003A69E5" w:rsidP="00E7037F">
                <w:pPr>
                  <w:bidi w:val="0"/>
                  <w:jc w:val="right"/>
                  <w:rPr>
                    <w:rFonts w:ascii="Arial" w:hAnsi="Arial"/>
                    <w:b/>
                    <w:bCs/>
                    <w:noProof w:val="0"/>
                    <w:sz w:val="26"/>
                    <w:szCs w:val="26"/>
                    <w:rtl/>
                  </w:rPr>
                </w:pPr>
                <w:r>
                  <w:rPr>
                    <w:rFonts w:ascii="Arial" w:hAnsi="Arial"/>
                    <w:b/>
                    <w:bCs/>
                    <w:noProof w:val="0"/>
                    <w:sz w:val="26"/>
                    <w:szCs w:val="26"/>
                    <w:rtl/>
                  </w:rPr>
                  <w:t>תובע</w:t>
                </w:r>
                <w:r w:rsidR="00E7037F">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5E7802" w:rsidP="006A267E">
            <w:pPr>
              <w:rPr>
                <w:b/>
                <w:bCs/>
                <w:noProof w:val="0"/>
                <w:sz w:val="26"/>
                <w:szCs w:val="26"/>
              </w:rPr>
            </w:pPr>
            <w:sdt>
              <w:sdtPr>
                <w:rPr>
                  <w:rtl/>
                </w:rPr>
                <w:alias w:val="1478"/>
                <w:tag w:val="1478"/>
                <w:id w:val="-2019765730"/>
                <w:text w:multiLine="1"/>
              </w:sdtPr>
              <w:sdtEndPr/>
              <w:sdtContent>
                <w:r w:rsidR="00CC29C2">
                  <w:rPr>
                    <w:rFonts w:ascii="Arial" w:hAnsi="Arial"/>
                    <w:b/>
                    <w:bCs/>
                    <w:noProof w:val="0"/>
                    <w:sz w:val="26"/>
                    <w:szCs w:val="26"/>
                    <w:rtl/>
                  </w:rPr>
                  <w:t>ל</w:t>
                </w:r>
                <w:r w:rsidR="006A267E">
                  <w:rPr>
                    <w:rFonts w:ascii="Arial" w:hAnsi="Arial" w:hint="cs"/>
                    <w:b/>
                    <w:bCs/>
                    <w:noProof w:val="0"/>
                    <w:sz w:val="26"/>
                    <w:szCs w:val="26"/>
                    <w:rtl/>
                  </w:rPr>
                  <w:t>.</w:t>
                </w:r>
                <w:r w:rsidR="00CC29C2">
                  <w:rPr>
                    <w:rFonts w:ascii="Arial" w:hAnsi="Arial"/>
                    <w:b/>
                    <w:bCs/>
                    <w:noProof w:val="0"/>
                    <w:sz w:val="26"/>
                    <w:szCs w:val="26"/>
                    <w:rtl/>
                  </w:rPr>
                  <w:t xml:space="preserve"> נ</w:t>
                </w:r>
                <w:r w:rsidR="006A267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6A267E">
                  <w:rPr>
                    <w:rtl/>
                  </w:rPr>
                  <w:br/>
                </w:r>
                <w:r w:rsidR="006A267E">
                  <w:rPr>
                    <w:rFonts w:hint="cs"/>
                    <w:rtl/>
                  </w:rPr>
                  <w:t xml:space="preserve">ע"י ב"כ עוה"ד </w:t>
                </w:r>
                <w:r w:rsidR="006A267E">
                  <w:rPr>
                    <w:rtl/>
                  </w:rPr>
                  <w:t>נביל אזחימאן</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5E7802" w:rsidP="00E7037F">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r w:rsidR="00E7037F">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5E7802" w:rsidP="006A267E">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ו</w:t>
                </w:r>
                <w:r w:rsidR="006A267E">
                  <w:rPr>
                    <w:rFonts w:ascii="Arial" w:hAnsi="Arial" w:hint="cs"/>
                    <w:b/>
                    <w:bCs/>
                    <w:noProof w:val="0"/>
                    <w:sz w:val="26"/>
                    <w:szCs w:val="26"/>
                    <w:rtl/>
                  </w:rPr>
                  <w:t>.</w:t>
                </w:r>
                <w:r w:rsidR="00CC29C2">
                  <w:rPr>
                    <w:rFonts w:ascii="Arial" w:hAnsi="Arial"/>
                    <w:b/>
                    <w:bCs/>
                    <w:noProof w:val="0"/>
                    <w:sz w:val="26"/>
                    <w:szCs w:val="26"/>
                    <w:rtl/>
                  </w:rPr>
                  <w:t xml:space="preserve"> נ</w:t>
                </w:r>
                <w:r w:rsidR="006A267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6A267E" w:rsidRPr="006A267E">
                  <w:rPr>
                    <w:rtl/>
                  </w:rPr>
                  <w:t>038693693</w:t>
                </w:r>
                <w:r w:rsidR="006A267E" w:rsidRPr="006A267E">
                  <w:rPr>
                    <w:rtl/>
                  </w:rPr>
                  <w:br/>
                </w:r>
                <w:r w:rsidR="006A267E" w:rsidRPr="006A267E">
                  <w:rPr>
                    <w:rFonts w:hint="cs"/>
                    <w:rtl/>
                  </w:rPr>
                  <w:t xml:space="preserve">ע"י ב"כ עוה"ד </w:t>
                </w:r>
                <w:r w:rsidR="006A267E" w:rsidRPr="006A267E">
                  <w:rPr>
                    <w:rtl/>
                  </w:rPr>
                  <w:t>ראובן נחום</w:t>
                </w:r>
              </w:sdtContent>
            </w:sdt>
          </w:p>
        </w:tc>
      </w:tr>
      <w:tr w:rsidR="00DA714E" w:rsidTr="00020144">
        <w:tc>
          <w:tcPr>
            <w:tcW w:w="8820" w:type="dxa"/>
            <w:gridSpan w:val="3"/>
          </w:tcPr>
          <w:p w:rsidR="007A7DEF" w:rsidRDefault="007A7DEF">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E7037F">
        <w:trPr>
          <w:jc w:val="center"/>
        </w:trPr>
        <w:tc>
          <w:tcPr>
            <w:tcW w:w="8820" w:type="dxa"/>
          </w:tcPr>
          <w:p w:rsidR="002914D6" w:rsidRPr="00E7037F" w:rsidRDefault="002914D6">
            <w:pPr>
              <w:bidi w:val="0"/>
              <w:jc w:val="center"/>
              <w:rPr>
                <w:rFonts w:ascii="Arial" w:hAnsi="Arial"/>
                <w:b/>
                <w:bCs/>
                <w:i/>
                <w:iCs/>
                <w:noProof w:val="0"/>
                <w:sz w:val="36"/>
                <w:szCs w:val="36"/>
              </w:rPr>
            </w:pPr>
          </w:p>
          <w:p w:rsidR="002914D6" w:rsidRPr="00E7037F" w:rsidRDefault="00530E94">
            <w:pPr>
              <w:bidi w:val="0"/>
              <w:jc w:val="center"/>
              <w:rPr>
                <w:rFonts w:ascii="Arial" w:hAnsi="Arial"/>
                <w:b/>
                <w:bCs/>
                <w:i/>
                <w:iCs/>
                <w:noProof w:val="0"/>
                <w:sz w:val="36"/>
                <w:szCs w:val="36"/>
                <w:u w:val="single"/>
              </w:rPr>
            </w:pPr>
            <w:r w:rsidRPr="00E7037F">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E7037F" w:rsidRDefault="00E7037F" w:rsidP="00E7037F">
      <w:pPr>
        <w:spacing w:line="360" w:lineRule="auto"/>
        <w:jc w:val="both"/>
        <w:rPr>
          <w:noProof w:val="0"/>
        </w:rPr>
      </w:pPr>
      <w:r>
        <w:rPr>
          <w:rFonts w:hint="cs"/>
          <w:rtl/>
        </w:rPr>
        <w:t>לפניי תביעה כספית על סך של 56,410 ₪.</w:t>
      </w:r>
    </w:p>
    <w:p w:rsidR="00E7037F" w:rsidRDefault="00E7037F" w:rsidP="00E7037F">
      <w:pPr>
        <w:spacing w:line="360" w:lineRule="auto"/>
        <w:jc w:val="both"/>
        <w:rPr>
          <w:rtl/>
        </w:rPr>
      </w:pPr>
    </w:p>
    <w:p w:rsidR="00E7037F" w:rsidRDefault="00E7037F" w:rsidP="007702A2">
      <w:pPr>
        <w:spacing w:line="360" w:lineRule="auto"/>
        <w:jc w:val="both"/>
        <w:rPr>
          <w:rtl/>
        </w:rPr>
      </w:pPr>
      <w:r>
        <w:rPr>
          <w:rFonts w:hint="cs"/>
          <w:rtl/>
        </w:rPr>
        <w:t>התביעה הוגשה על-ידי הגב' ל</w:t>
      </w:r>
      <w:r w:rsidR="007702A2">
        <w:rPr>
          <w:rFonts w:hint="cs"/>
          <w:rtl/>
        </w:rPr>
        <w:t>.</w:t>
      </w:r>
      <w:r>
        <w:rPr>
          <w:rFonts w:hint="cs"/>
          <w:rtl/>
        </w:rPr>
        <w:t xml:space="preserve"> נ</w:t>
      </w:r>
      <w:r w:rsidR="007702A2">
        <w:rPr>
          <w:rFonts w:hint="cs"/>
          <w:rtl/>
        </w:rPr>
        <w:t>.</w:t>
      </w:r>
      <w:r>
        <w:rPr>
          <w:rFonts w:hint="cs"/>
          <w:rtl/>
        </w:rPr>
        <w:t xml:space="preserve"> (להלן: "</w:t>
      </w:r>
      <w:r>
        <w:rPr>
          <w:rFonts w:hint="cs"/>
          <w:b/>
          <w:bCs/>
          <w:rtl/>
        </w:rPr>
        <w:t>התובעת</w:t>
      </w:r>
      <w:r>
        <w:rPr>
          <w:rFonts w:hint="cs"/>
          <w:rtl/>
        </w:rPr>
        <w:t>"), נגד הגב' ו</w:t>
      </w:r>
      <w:r w:rsidR="007702A2">
        <w:rPr>
          <w:rFonts w:hint="cs"/>
          <w:rtl/>
        </w:rPr>
        <w:t>.</w:t>
      </w:r>
      <w:r>
        <w:rPr>
          <w:rFonts w:hint="cs"/>
          <w:rtl/>
        </w:rPr>
        <w:t xml:space="preserve"> נ</w:t>
      </w:r>
      <w:r w:rsidR="007702A2">
        <w:rPr>
          <w:rFonts w:hint="cs"/>
          <w:rtl/>
        </w:rPr>
        <w:t>.</w:t>
      </w:r>
      <w:r>
        <w:rPr>
          <w:rFonts w:hint="cs"/>
          <w:rtl/>
        </w:rPr>
        <w:t xml:space="preserve"> (להלן: "</w:t>
      </w:r>
      <w:r>
        <w:rPr>
          <w:rFonts w:hint="cs"/>
          <w:b/>
          <w:bCs/>
          <w:rtl/>
        </w:rPr>
        <w:t>הנתבעת</w:t>
      </w:r>
      <w:r>
        <w:rPr>
          <w:rFonts w:hint="cs"/>
          <w:rtl/>
        </w:rPr>
        <w:t>").</w:t>
      </w:r>
    </w:p>
    <w:p w:rsidR="00E7037F" w:rsidRDefault="00E7037F" w:rsidP="00E7037F">
      <w:pPr>
        <w:spacing w:line="360" w:lineRule="auto"/>
        <w:jc w:val="both"/>
        <w:rPr>
          <w:rFonts w:eastAsia="David"/>
        </w:rPr>
      </w:pPr>
    </w:p>
    <w:p w:rsidR="00E7037F" w:rsidRDefault="00E7037F" w:rsidP="007702A2">
      <w:pPr>
        <w:spacing w:line="360" w:lineRule="auto"/>
        <w:jc w:val="both"/>
        <w:rPr>
          <w:rtl/>
        </w:rPr>
      </w:pPr>
      <w:r>
        <w:rPr>
          <w:rFonts w:hint="cs"/>
          <w:rtl/>
        </w:rPr>
        <w:t>הנתבעת</w:t>
      </w:r>
      <w:r w:rsidR="007702A2">
        <w:rPr>
          <w:rFonts w:hint="cs"/>
          <w:rtl/>
        </w:rPr>
        <w:t xml:space="preserve"> היא פרודתו של אחי התובעת, מר ס.</w:t>
      </w:r>
      <w:r>
        <w:rPr>
          <w:rFonts w:hint="cs"/>
          <w:rtl/>
        </w:rPr>
        <w:t xml:space="preserve"> נ</w:t>
      </w:r>
      <w:r w:rsidR="007702A2">
        <w:rPr>
          <w:rFonts w:hint="cs"/>
          <w:rtl/>
        </w:rPr>
        <w:t>.</w:t>
      </w:r>
      <w:r>
        <w:rPr>
          <w:rFonts w:hint="cs"/>
          <w:rtl/>
        </w:rPr>
        <w:t xml:space="preserve"> (להלן: "</w:t>
      </w:r>
      <w:r>
        <w:rPr>
          <w:rFonts w:hint="cs"/>
          <w:b/>
          <w:bCs/>
          <w:rtl/>
        </w:rPr>
        <w:t>ס</w:t>
      </w:r>
      <w:r w:rsidR="007702A2">
        <w:rPr>
          <w:rFonts w:hint="cs"/>
          <w:b/>
          <w:bCs/>
          <w:rtl/>
        </w:rPr>
        <w:t>'</w:t>
      </w:r>
      <w:r>
        <w:rPr>
          <w:rFonts w:hint="cs"/>
          <w:rtl/>
        </w:rPr>
        <w:t>").</w:t>
      </w:r>
    </w:p>
    <w:p w:rsidR="00E7037F" w:rsidRDefault="00E7037F" w:rsidP="00E7037F">
      <w:pPr>
        <w:spacing w:line="360" w:lineRule="auto"/>
        <w:jc w:val="both"/>
        <w:rPr>
          <w:rtl/>
        </w:rPr>
      </w:pPr>
    </w:p>
    <w:p w:rsidR="00E7037F" w:rsidRDefault="00E7037F" w:rsidP="007702A2">
      <w:pPr>
        <w:spacing w:line="360" w:lineRule="auto"/>
        <w:jc w:val="both"/>
        <w:rPr>
          <w:rtl/>
        </w:rPr>
      </w:pPr>
      <w:r>
        <w:rPr>
          <w:rFonts w:hint="cs"/>
          <w:rtl/>
        </w:rPr>
        <w:t>התביעה היא לדמי שימוש ראויים בגין שימוש שעשתה הנתבעת בדירה, אשר נמצאת באזור ב</w:t>
      </w:r>
      <w:r w:rsidR="007702A2">
        <w:rPr>
          <w:rFonts w:hint="cs"/>
          <w:rtl/>
        </w:rPr>
        <w:t>__</w:t>
      </w:r>
      <w:r>
        <w:rPr>
          <w:rFonts w:hint="cs"/>
          <w:rtl/>
        </w:rPr>
        <w:t xml:space="preserve"> המהווה חלק משטח העיר </w:t>
      </w:r>
      <w:r w:rsidR="007702A2">
        <w:rPr>
          <w:rFonts w:hint="cs"/>
          <w:rtl/>
        </w:rPr>
        <w:t>___</w:t>
      </w:r>
      <w:r>
        <w:rPr>
          <w:rFonts w:hint="cs"/>
          <w:rtl/>
        </w:rPr>
        <w:t xml:space="preserve"> (להלן: "</w:t>
      </w:r>
      <w:r>
        <w:rPr>
          <w:rFonts w:hint="cs"/>
          <w:b/>
          <w:bCs/>
          <w:rtl/>
        </w:rPr>
        <w:t>הדירה</w:t>
      </w:r>
      <w:r>
        <w:rPr>
          <w:rFonts w:hint="cs"/>
          <w:rtl/>
        </w:rPr>
        <w:t>").</w:t>
      </w:r>
    </w:p>
    <w:p w:rsidR="00E7037F" w:rsidRDefault="00E7037F" w:rsidP="00E7037F">
      <w:pPr>
        <w:spacing w:line="360" w:lineRule="auto"/>
        <w:jc w:val="both"/>
        <w:rPr>
          <w:rtl/>
        </w:rPr>
      </w:pPr>
    </w:p>
    <w:p w:rsidR="00E7037F" w:rsidRDefault="00E7037F" w:rsidP="00E7037F">
      <w:pPr>
        <w:spacing w:line="360" w:lineRule="auto"/>
        <w:jc w:val="both"/>
        <w:rPr>
          <w:b/>
          <w:bCs/>
          <w:u w:val="single"/>
          <w:rtl/>
        </w:rPr>
      </w:pPr>
      <w:r>
        <w:rPr>
          <w:rFonts w:hint="cs"/>
          <w:b/>
          <w:bCs/>
          <w:u w:val="single"/>
          <w:rtl/>
        </w:rPr>
        <w:t>הליך משפטי קודם</w:t>
      </w:r>
    </w:p>
    <w:p w:rsidR="00E7037F" w:rsidRDefault="00E7037F" w:rsidP="00E7037F">
      <w:pPr>
        <w:spacing w:line="360" w:lineRule="auto"/>
        <w:jc w:val="both"/>
        <w:rPr>
          <w:b/>
          <w:bCs/>
          <w:u w:val="single"/>
          <w:rtl/>
        </w:rPr>
      </w:pPr>
    </w:p>
    <w:p w:rsidR="00E7037F" w:rsidRDefault="00E7037F" w:rsidP="00E7037F">
      <w:pPr>
        <w:pStyle w:val="ae"/>
        <w:numPr>
          <w:ilvl w:val="0"/>
          <w:numId w:val="1"/>
        </w:numPr>
        <w:spacing w:line="360" w:lineRule="auto"/>
        <w:jc w:val="both"/>
        <w:rPr>
          <w:rFonts w:cs="David"/>
          <w:rtl/>
        </w:rPr>
      </w:pPr>
      <w:r>
        <w:rPr>
          <w:rFonts w:cs="David" w:hint="cs"/>
          <w:rtl/>
        </w:rPr>
        <w:t>ביום 9.3.2023 הגישה התובעת כנגד הנתבעת במסגרת תלה"מ 21299-03-23, תביעה כספית על סך של 136,600 ₪, בגין השימוש שעשתה הנתבעת בדירה (להלן: "</w:t>
      </w:r>
      <w:r>
        <w:rPr>
          <w:rFonts w:cs="David" w:hint="cs"/>
          <w:b/>
          <w:bCs/>
          <w:rtl/>
        </w:rPr>
        <w:t>ההליך קודם</w:t>
      </w:r>
      <w:r>
        <w:rPr>
          <w:rFonts w:cs="David" w:hint="cs"/>
          <w:rtl/>
        </w:rPr>
        <w:t>").</w:t>
      </w:r>
    </w:p>
    <w:p w:rsidR="00E7037F" w:rsidRDefault="00E7037F" w:rsidP="00E7037F">
      <w:pPr>
        <w:pStyle w:val="ae"/>
        <w:spacing w:line="360" w:lineRule="auto"/>
        <w:jc w:val="both"/>
        <w:rPr>
          <w:rFonts w:cs="David"/>
        </w:rPr>
      </w:pPr>
    </w:p>
    <w:p w:rsidR="00E7037F" w:rsidRDefault="00E7037F" w:rsidP="00E7037F">
      <w:pPr>
        <w:pStyle w:val="ae"/>
        <w:numPr>
          <w:ilvl w:val="0"/>
          <w:numId w:val="1"/>
        </w:numPr>
        <w:spacing w:line="360" w:lineRule="auto"/>
        <w:jc w:val="both"/>
        <w:rPr>
          <w:rFonts w:cs="David"/>
        </w:rPr>
      </w:pPr>
      <w:r>
        <w:rPr>
          <w:rFonts w:cs="David" w:hint="cs"/>
          <w:rtl/>
        </w:rPr>
        <w:t>בהליך הקודם ניתן פסק דין מיום 19.12.2023 (להלן: "</w:t>
      </w:r>
      <w:r>
        <w:rPr>
          <w:rFonts w:cs="David" w:hint="cs"/>
          <w:b/>
          <w:bCs/>
          <w:rtl/>
        </w:rPr>
        <w:t>פסק הדין</w:t>
      </w:r>
      <w:r>
        <w:rPr>
          <w:rFonts w:cs="David" w:hint="cs"/>
          <w:rtl/>
        </w:rPr>
        <w:t>"), אשר במסגרתו נקבע, בין היתר, כי:</w:t>
      </w:r>
    </w:p>
    <w:p w:rsidR="00E7037F" w:rsidRDefault="00E7037F" w:rsidP="00E7037F">
      <w:pPr>
        <w:pStyle w:val="ae"/>
        <w:spacing w:line="360" w:lineRule="auto"/>
        <w:rPr>
          <w:rFonts w:cs="David"/>
        </w:rPr>
      </w:pPr>
    </w:p>
    <w:p w:rsidR="00E7037F" w:rsidRDefault="00E7037F" w:rsidP="007702A2">
      <w:pPr>
        <w:pStyle w:val="ae"/>
        <w:spacing w:line="360" w:lineRule="auto"/>
        <w:ind w:left="1076" w:right="993"/>
        <w:jc w:val="both"/>
        <w:rPr>
          <w:rFonts w:cs="David"/>
          <w:rtl/>
        </w:rPr>
      </w:pPr>
      <w:r>
        <w:rPr>
          <w:rFonts w:cs="David" w:hint="cs"/>
          <w:rtl/>
        </w:rPr>
        <w:t xml:space="preserve">"הן התובעת והן הנתבעת "השקיעו מרץ" בניסיון להוכיח מי מהן בעלת הזכויות בדירה. התובעת טענה כי היא רכשה את הדירה </w:t>
      </w:r>
      <w:r w:rsidRPr="00834A15">
        <w:rPr>
          <w:rFonts w:cs="David" w:hint="cs"/>
          <w:b/>
          <w:bCs/>
          <w:rtl/>
        </w:rPr>
        <w:t>מס</w:t>
      </w:r>
      <w:r w:rsidR="007702A2" w:rsidRPr="00834A15">
        <w:rPr>
          <w:rFonts w:cs="David" w:hint="cs"/>
          <w:b/>
          <w:bCs/>
          <w:rtl/>
        </w:rPr>
        <w:t>'</w:t>
      </w:r>
      <w:r>
        <w:rPr>
          <w:rFonts w:cs="David" w:hint="cs"/>
          <w:rtl/>
        </w:rPr>
        <w:t xml:space="preserve"> בשנת 2016 ואילו הנתבעת טענה כי היא מימנה את רכישת הדירה בשנת 2014" </w:t>
      </w:r>
      <w:r>
        <w:rPr>
          <w:rFonts w:cs="David" w:hint="cs"/>
          <w:b/>
          <w:bCs/>
          <w:rtl/>
        </w:rPr>
        <w:t>ראו: ס' 23 לפסק הדין</w:t>
      </w:r>
      <w:r>
        <w:rPr>
          <w:rFonts w:cs="David" w:hint="cs"/>
          <w:rtl/>
        </w:rPr>
        <w:t>;</w:t>
      </w:r>
    </w:p>
    <w:p w:rsidR="00E7037F" w:rsidRDefault="00E7037F" w:rsidP="00E7037F">
      <w:pPr>
        <w:pStyle w:val="ae"/>
        <w:spacing w:line="360" w:lineRule="auto"/>
        <w:ind w:left="1076" w:right="993"/>
        <w:jc w:val="both"/>
        <w:rPr>
          <w:rFonts w:cs="David"/>
          <w:rtl/>
        </w:rPr>
      </w:pPr>
      <w:r>
        <w:rPr>
          <w:rFonts w:cs="David" w:hint="cs"/>
          <w:rtl/>
        </w:rPr>
        <w:lastRenderedPageBreak/>
        <w:t xml:space="preserve">"כבר עתה יצוין כי גרסאות התובעת והנתבעת וכן העדים מטעמן לא הצטיינו בקוהרנטיות מיוחדת בלשון המעטה וחלקן לא נתמכו בראיות כלל..." </w:t>
      </w:r>
      <w:r>
        <w:rPr>
          <w:rFonts w:cs="David" w:hint="cs"/>
          <w:b/>
          <w:bCs/>
          <w:rtl/>
        </w:rPr>
        <w:t>ראו: ס' 24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7702A2">
      <w:pPr>
        <w:pStyle w:val="ae"/>
        <w:spacing w:line="360" w:lineRule="auto"/>
        <w:ind w:left="1076" w:right="993"/>
        <w:jc w:val="both"/>
        <w:rPr>
          <w:rFonts w:cs="David"/>
          <w:rtl/>
        </w:rPr>
      </w:pPr>
      <w:r>
        <w:rPr>
          <w:rFonts w:cs="David" w:hint="cs"/>
          <w:rtl/>
        </w:rPr>
        <w:t xml:space="preserve">"יש לציין כי שתי הגרסאות – הן של התובעת והן של </w:t>
      </w:r>
      <w:r w:rsidRPr="00834A15">
        <w:rPr>
          <w:rFonts w:cs="David" w:hint="cs"/>
          <w:b/>
          <w:bCs/>
          <w:rtl/>
        </w:rPr>
        <w:t>ס</w:t>
      </w:r>
      <w:r w:rsidR="007702A2" w:rsidRPr="00834A15">
        <w:rPr>
          <w:rFonts w:cs="David" w:hint="cs"/>
          <w:b/>
          <w:bCs/>
          <w:rtl/>
        </w:rPr>
        <w:t>'</w:t>
      </w:r>
      <w:r w:rsidRPr="00834A15">
        <w:rPr>
          <w:rFonts w:cs="David" w:hint="cs"/>
          <w:b/>
          <w:bCs/>
          <w:rtl/>
        </w:rPr>
        <w:t xml:space="preserve"> </w:t>
      </w:r>
      <w:r>
        <w:rPr>
          <w:rFonts w:cs="David" w:hint="cs"/>
          <w:rtl/>
        </w:rPr>
        <w:t xml:space="preserve">לא נתמכו באסמכתאות ..." </w:t>
      </w:r>
      <w:r>
        <w:rPr>
          <w:rFonts w:cs="David" w:hint="cs"/>
          <w:b/>
          <w:bCs/>
          <w:rtl/>
        </w:rPr>
        <w:t>ראו: ס' 24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E7037F">
      <w:pPr>
        <w:pStyle w:val="ae"/>
        <w:spacing w:line="360" w:lineRule="auto"/>
        <w:ind w:left="1076" w:right="993"/>
        <w:jc w:val="both"/>
        <w:rPr>
          <w:rFonts w:cs="David"/>
          <w:rtl/>
        </w:rPr>
      </w:pPr>
      <w:r>
        <w:rPr>
          <w:rFonts w:cs="David" w:hint="cs"/>
          <w:rtl/>
        </w:rPr>
        <w:t xml:space="preserve">"במצב דברים זה ומשעה שנטל הוכחת הבעלות בדירה רובץ לפתחה של התובעת </w:t>
      </w:r>
      <w:r w:rsidRPr="007702A2">
        <w:rPr>
          <w:rFonts w:cs="David" w:hint="cs"/>
          <w:b/>
          <w:bCs/>
          <w:rtl/>
        </w:rPr>
        <w:t>ראו</w:t>
      </w:r>
      <w:r>
        <w:rPr>
          <w:rFonts w:cs="David" w:hint="cs"/>
          <w:rtl/>
        </w:rPr>
        <w:t xml:space="preserve">: ע"א 5163/23 </w:t>
      </w:r>
      <w:r w:rsidRPr="007702A2">
        <w:rPr>
          <w:rFonts w:cs="David" w:hint="cs"/>
          <w:b/>
          <w:bCs/>
          <w:rtl/>
        </w:rPr>
        <w:t>חרוב נ' רשות מקרקעי ישראל</w:t>
      </w:r>
      <w:r>
        <w:rPr>
          <w:rFonts w:cs="David" w:hint="cs"/>
          <w:rtl/>
        </w:rPr>
        <w:t xml:space="preserve"> (26.11.2023) ניתן היה לבוא ולומר כי התובעת לא הוכיחה את טענתה" </w:t>
      </w:r>
      <w:r>
        <w:rPr>
          <w:rFonts w:cs="David" w:hint="cs"/>
          <w:b/>
          <w:bCs/>
          <w:rtl/>
        </w:rPr>
        <w:t>ראו: ס' 26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7702A2">
      <w:pPr>
        <w:pStyle w:val="ae"/>
        <w:spacing w:line="360" w:lineRule="auto"/>
        <w:ind w:left="1076" w:right="993"/>
        <w:jc w:val="both"/>
        <w:rPr>
          <w:rFonts w:cs="David"/>
          <w:rtl/>
        </w:rPr>
      </w:pPr>
      <w:r>
        <w:rPr>
          <w:rFonts w:cs="David" w:hint="cs"/>
          <w:rtl/>
        </w:rPr>
        <w:t>"יחד עם זאת, ראיה אחת בלבד הטתה את כף המאזניים לטובת התובעת. ראייה זו הינה ייפוי כוח (להלן: "</w:t>
      </w:r>
      <w:r w:rsidRPr="007702A2">
        <w:rPr>
          <w:rFonts w:cs="David" w:hint="cs"/>
          <w:b/>
          <w:bCs/>
          <w:rtl/>
        </w:rPr>
        <w:t>ייפוי הכוח</w:t>
      </w:r>
      <w:r>
        <w:rPr>
          <w:rFonts w:cs="David" w:hint="cs"/>
          <w:rtl/>
        </w:rPr>
        <w:t xml:space="preserve">") שנתן </w:t>
      </w:r>
      <w:r w:rsidRPr="00834A15">
        <w:rPr>
          <w:rFonts w:cs="David" w:hint="cs"/>
          <w:b/>
          <w:bCs/>
          <w:rtl/>
        </w:rPr>
        <w:t>ס</w:t>
      </w:r>
      <w:r w:rsidR="007702A2" w:rsidRPr="00834A15">
        <w:rPr>
          <w:rFonts w:cs="David" w:hint="cs"/>
          <w:b/>
          <w:bCs/>
          <w:rtl/>
        </w:rPr>
        <w:t>'</w:t>
      </w:r>
      <w:r>
        <w:rPr>
          <w:rFonts w:cs="David" w:hint="cs"/>
          <w:rtl/>
        </w:rPr>
        <w:t xml:space="preserve"> לתובעת ביום 30.6.18 ..." </w:t>
      </w:r>
      <w:r>
        <w:rPr>
          <w:rFonts w:cs="David" w:hint="cs"/>
          <w:b/>
          <w:bCs/>
          <w:rtl/>
        </w:rPr>
        <w:t>ראו: ס' 27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E7037F">
      <w:pPr>
        <w:pStyle w:val="ae"/>
        <w:spacing w:line="360" w:lineRule="auto"/>
        <w:ind w:left="1076" w:right="993"/>
        <w:jc w:val="both"/>
        <w:rPr>
          <w:rFonts w:cs="David"/>
          <w:rtl/>
        </w:rPr>
      </w:pPr>
      <w:r>
        <w:rPr>
          <w:rFonts w:cs="David" w:hint="cs"/>
          <w:rtl/>
        </w:rPr>
        <w:t xml:space="preserve">"על רקע מסקנה זו, על רקע העובדה כי לא נטענה על-ידי הנתבעת כל טענה ביחס לייפוי הכוח ועורך ייפוי הכוח לא זומן על ידה לעדות, בהתאם לתקנה 28 (ב) לתקנות המשפחה שלפיה על בית המשפט לקבוע "את ממצאיו לפי הראיות המסתברות יותר" </w:t>
      </w:r>
      <w:r w:rsidRPr="007702A2">
        <w:rPr>
          <w:rFonts w:cs="David" w:hint="cs"/>
          <w:b/>
          <w:bCs/>
          <w:rtl/>
        </w:rPr>
        <w:t>ראו</w:t>
      </w:r>
      <w:r>
        <w:rPr>
          <w:rFonts w:cs="David" w:hint="cs"/>
          <w:rtl/>
        </w:rPr>
        <w:t xml:space="preserve">: תה"ס 27071-11-19 </w:t>
      </w:r>
      <w:r w:rsidRPr="007702A2">
        <w:rPr>
          <w:rFonts w:cs="David" w:hint="cs"/>
          <w:b/>
          <w:bCs/>
          <w:rtl/>
        </w:rPr>
        <w:t>פלונית נ' אלמוני</w:t>
      </w:r>
      <w:r>
        <w:rPr>
          <w:rFonts w:cs="David" w:hint="cs"/>
          <w:rtl/>
        </w:rPr>
        <w:t xml:space="preserve"> (27.11.2022) אני קובע כי התובעת הוכיחה, על-פי מאזן ההסתברויות </w:t>
      </w:r>
      <w:r>
        <w:rPr>
          <w:rFonts w:cs="David" w:hint="cs"/>
          <w:b/>
          <w:bCs/>
          <w:u w:val="single"/>
          <w:rtl/>
        </w:rPr>
        <w:t>ולצורך הכרעה בהליך זה בלבד וכקביעה אגבית, כי היא בעלת הזכויות בדירה</w:t>
      </w:r>
      <w:r>
        <w:rPr>
          <w:rFonts w:cs="David" w:hint="cs"/>
          <w:rtl/>
        </w:rPr>
        <w:t xml:space="preserve">" [ההדגשה לא במקור – פ"ג] </w:t>
      </w:r>
      <w:r>
        <w:rPr>
          <w:rFonts w:cs="David" w:hint="cs"/>
          <w:b/>
          <w:bCs/>
          <w:rtl/>
        </w:rPr>
        <w:t>ראו: ס' 29 לפסק הדין</w:t>
      </w:r>
      <w:r>
        <w:rPr>
          <w:rFonts w:cs="David" w:hint="cs"/>
          <w:rtl/>
        </w:rPr>
        <w:t>.</w:t>
      </w:r>
    </w:p>
    <w:p w:rsidR="00E7037F" w:rsidRDefault="00E7037F" w:rsidP="00E7037F">
      <w:pPr>
        <w:pStyle w:val="ae"/>
        <w:spacing w:line="360" w:lineRule="auto"/>
        <w:jc w:val="both"/>
        <w:rPr>
          <w:rFonts w:cs="David"/>
        </w:rPr>
      </w:pPr>
    </w:p>
    <w:p w:rsidR="00E7037F" w:rsidRDefault="00E7037F" w:rsidP="00E7037F">
      <w:pPr>
        <w:pStyle w:val="ae"/>
        <w:numPr>
          <w:ilvl w:val="0"/>
          <w:numId w:val="1"/>
        </w:numPr>
        <w:spacing w:line="360" w:lineRule="auto"/>
        <w:jc w:val="both"/>
        <w:rPr>
          <w:rFonts w:cs="David"/>
          <w:rtl/>
        </w:rPr>
      </w:pPr>
      <w:r>
        <w:rPr>
          <w:rFonts w:cs="David" w:hint="cs"/>
          <w:rtl/>
        </w:rPr>
        <w:t xml:space="preserve">חרף קביעה זו, תביעת התובעת בהליך הקודם נדחתה במספר נימוקים וביניהם: </w:t>
      </w:r>
    </w:p>
    <w:p w:rsidR="00E7037F" w:rsidRDefault="00E7037F" w:rsidP="00E7037F">
      <w:pPr>
        <w:pStyle w:val="ae"/>
        <w:spacing w:line="360" w:lineRule="auto"/>
        <w:rPr>
          <w:rFonts w:cs="David"/>
        </w:rPr>
      </w:pPr>
    </w:p>
    <w:p w:rsidR="00E7037F" w:rsidRDefault="00E7037F" w:rsidP="00E7037F">
      <w:pPr>
        <w:pStyle w:val="ae"/>
        <w:spacing w:line="360" w:lineRule="auto"/>
        <w:ind w:left="1076" w:right="993"/>
        <w:jc w:val="both"/>
        <w:rPr>
          <w:rFonts w:cs="David"/>
          <w:rtl/>
        </w:rPr>
      </w:pPr>
      <w:r>
        <w:rPr>
          <w:rFonts w:cs="David" w:hint="cs"/>
          <w:rtl/>
        </w:rPr>
        <w:t xml:space="preserve">לא הוכחה טענת התובעת כי "הנתבעת פלשה לדירה"... "ללא הסכמתה" ו"ללא אישורה" </w:t>
      </w:r>
      <w:r>
        <w:rPr>
          <w:rFonts w:cs="David" w:hint="cs"/>
          <w:b/>
          <w:bCs/>
          <w:rtl/>
        </w:rPr>
        <w:t>ראו: ס' 37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E7037F">
      <w:pPr>
        <w:pStyle w:val="ae"/>
        <w:spacing w:line="360" w:lineRule="auto"/>
        <w:ind w:left="1076" w:right="993"/>
        <w:jc w:val="both"/>
        <w:rPr>
          <w:rFonts w:cs="David"/>
          <w:rtl/>
        </w:rPr>
      </w:pPr>
      <w:r>
        <w:rPr>
          <w:rFonts w:cs="David" w:hint="cs"/>
          <w:rtl/>
        </w:rPr>
        <w:t xml:space="preserve">"...ממועד כניסת הנתבעת לדירה ועד למועד הגשת התביעה, התובעת לא ביקשה כל תמורה עבור מגורי הנתבעת בדירה וכאשר התובעת לא עתרה לסילוק ידה של הנתבעת מהדירה..." ומכך יש "ללמוד על הסכמת התובעת למגורים ללא תמורה של התובעת בדירה" </w:t>
      </w:r>
      <w:r>
        <w:rPr>
          <w:rFonts w:cs="David" w:hint="cs"/>
          <w:b/>
          <w:bCs/>
          <w:rtl/>
        </w:rPr>
        <w:t>ראו: ס' 38 לפסק הדין</w:t>
      </w:r>
      <w:r>
        <w:rPr>
          <w:rFonts w:cs="David" w:hint="cs"/>
          <w:rtl/>
        </w:rPr>
        <w:t>;</w:t>
      </w:r>
    </w:p>
    <w:p w:rsidR="00E7037F" w:rsidRDefault="00E7037F" w:rsidP="00E7037F">
      <w:pPr>
        <w:pStyle w:val="ae"/>
        <w:spacing w:line="360" w:lineRule="auto"/>
        <w:jc w:val="both"/>
        <w:rPr>
          <w:rFonts w:cs="David"/>
          <w:rtl/>
        </w:rPr>
      </w:pPr>
    </w:p>
    <w:p w:rsidR="00E7037F" w:rsidRDefault="00E7037F" w:rsidP="00E7037F">
      <w:pPr>
        <w:pStyle w:val="ae"/>
        <w:spacing w:line="360" w:lineRule="auto"/>
        <w:ind w:left="1076" w:right="993"/>
        <w:jc w:val="both"/>
        <w:rPr>
          <w:rFonts w:cs="David"/>
          <w:rtl/>
        </w:rPr>
      </w:pPr>
      <w:r>
        <w:rPr>
          <w:rFonts w:cs="David" w:hint="cs"/>
          <w:rtl/>
        </w:rPr>
        <w:lastRenderedPageBreak/>
        <w:t xml:space="preserve">התובעת לא הוכיחה את הסעד הכספי משעה ש"...לא ביקשה כאמור למנות שמאי מקרקעין והיא הסתפקה בטענה כי שכר דירה בסך של 1,000 דולר לחודש..." </w:t>
      </w:r>
      <w:r>
        <w:rPr>
          <w:rFonts w:cs="David" w:hint="cs"/>
          <w:b/>
          <w:bCs/>
          <w:rtl/>
        </w:rPr>
        <w:t>ראו: ס' 47 לפסק הדין</w:t>
      </w:r>
      <w:r>
        <w:rPr>
          <w:rFonts w:cs="David" w:hint="cs"/>
          <w:rtl/>
        </w:rPr>
        <w:t>.</w:t>
      </w:r>
    </w:p>
    <w:p w:rsidR="00E7037F" w:rsidRDefault="00E7037F" w:rsidP="00E7037F">
      <w:pPr>
        <w:spacing w:line="360" w:lineRule="auto"/>
        <w:jc w:val="both"/>
        <w:rPr>
          <w:b/>
          <w:bCs/>
          <w:u w:val="single"/>
          <w:rtl/>
        </w:rPr>
      </w:pPr>
    </w:p>
    <w:p w:rsidR="00E7037F" w:rsidRDefault="00E7037F" w:rsidP="00E7037F">
      <w:pPr>
        <w:spacing w:line="360" w:lineRule="auto"/>
        <w:jc w:val="both"/>
        <w:rPr>
          <w:b/>
          <w:bCs/>
          <w:u w:val="single"/>
          <w:rtl/>
        </w:rPr>
      </w:pPr>
      <w:r>
        <w:rPr>
          <w:rFonts w:hint="cs"/>
          <w:b/>
          <w:bCs/>
          <w:u w:val="single"/>
          <w:rtl/>
        </w:rPr>
        <w:t>עיקר טענות התובעת בהליך הנוכחי</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u w:val="single"/>
          <w:rtl/>
        </w:rPr>
      </w:pPr>
      <w:r>
        <w:rPr>
          <w:rFonts w:cs="David" w:hint="cs"/>
          <w:rtl/>
        </w:rPr>
        <w:t>התובעת היא הבעלים של הדירה והנתבעת פלשה אליה. התביעה היא בגין שימוש שעשתה הנתבעת מאז הגשת התביעה בהליך הקודם ועד הגשת התביעה הנוכחית.</w:t>
      </w:r>
    </w:p>
    <w:p w:rsidR="00E7037F" w:rsidRDefault="00E7037F" w:rsidP="00E7037F">
      <w:pPr>
        <w:spacing w:line="360" w:lineRule="auto"/>
        <w:jc w:val="both"/>
        <w:rPr>
          <w:u w:val="single"/>
        </w:rPr>
      </w:pPr>
    </w:p>
    <w:p w:rsidR="00E7037F" w:rsidRDefault="00E7037F" w:rsidP="00E7037F">
      <w:pPr>
        <w:spacing w:line="360" w:lineRule="auto"/>
        <w:jc w:val="both"/>
        <w:rPr>
          <w:b/>
          <w:bCs/>
          <w:u w:val="single"/>
          <w:rtl/>
        </w:rPr>
      </w:pPr>
      <w:r>
        <w:rPr>
          <w:rFonts w:hint="cs"/>
          <w:b/>
          <w:bCs/>
          <w:u w:val="single"/>
          <w:rtl/>
        </w:rPr>
        <w:t>עיקר טענות הנתבעת בהליך הנוכחי</w:t>
      </w:r>
    </w:p>
    <w:p w:rsidR="00E7037F" w:rsidRDefault="00E7037F" w:rsidP="00E7037F">
      <w:pPr>
        <w:spacing w:line="360" w:lineRule="auto"/>
        <w:jc w:val="both"/>
        <w:rPr>
          <w:u w:val="single"/>
        </w:rPr>
      </w:pPr>
    </w:p>
    <w:p w:rsidR="00E7037F" w:rsidRDefault="00E7037F" w:rsidP="00E7037F">
      <w:pPr>
        <w:pStyle w:val="ae"/>
        <w:numPr>
          <w:ilvl w:val="0"/>
          <w:numId w:val="1"/>
        </w:numPr>
        <w:spacing w:line="360" w:lineRule="auto"/>
        <w:jc w:val="both"/>
        <w:rPr>
          <w:rFonts w:cs="David"/>
        </w:rPr>
      </w:pPr>
      <w:r>
        <w:rPr>
          <w:rFonts w:cs="David" w:hint="cs"/>
          <w:rtl/>
        </w:rPr>
        <w:t xml:space="preserve">התובעת לא הגישה בקשה לפיצול סעדים, לא צירפה ראיות להוכחת התביעה, ופסק הדין שניתן בהליך הקודם לא יצר פלוגתא פסוקה המהווה מעשה בית דין. </w:t>
      </w:r>
    </w:p>
    <w:p w:rsidR="00E7037F" w:rsidRDefault="00E7037F" w:rsidP="00E7037F">
      <w:pPr>
        <w:spacing w:line="360" w:lineRule="auto"/>
        <w:jc w:val="both"/>
      </w:pPr>
    </w:p>
    <w:p w:rsidR="00E7037F" w:rsidRDefault="00E7037F" w:rsidP="00E7037F">
      <w:pPr>
        <w:spacing w:line="360" w:lineRule="auto"/>
        <w:jc w:val="both"/>
        <w:rPr>
          <w:b/>
          <w:bCs/>
          <w:u w:val="single"/>
          <w:rtl/>
        </w:rPr>
      </w:pPr>
      <w:r>
        <w:rPr>
          <w:rFonts w:hint="cs"/>
          <w:b/>
          <w:bCs/>
          <w:u w:val="single"/>
          <w:rtl/>
        </w:rPr>
        <w:t>דיון מיום 18.9.24</w:t>
      </w:r>
    </w:p>
    <w:p w:rsidR="00E7037F" w:rsidRDefault="00E7037F" w:rsidP="00E7037F">
      <w:pPr>
        <w:spacing w:line="360" w:lineRule="auto"/>
        <w:jc w:val="both"/>
      </w:pPr>
    </w:p>
    <w:p w:rsidR="00E7037F" w:rsidRDefault="00E7037F" w:rsidP="00E7037F">
      <w:pPr>
        <w:pStyle w:val="ae"/>
        <w:numPr>
          <w:ilvl w:val="0"/>
          <w:numId w:val="1"/>
        </w:numPr>
        <w:spacing w:line="360" w:lineRule="auto"/>
        <w:jc w:val="both"/>
        <w:rPr>
          <w:rFonts w:cs="David"/>
          <w:rtl/>
        </w:rPr>
      </w:pPr>
      <w:r>
        <w:rPr>
          <w:rFonts w:cs="David" w:hint="cs"/>
          <w:rtl/>
        </w:rPr>
        <w:t>בדיון שהתקיים ביום 18.9.24 הסכימו הצדדים כי יש להכריע תחילה בשאלה האם הקביעה בפסק הדין בכל הנוגע לבעלות התובעת בדירה מהווה פלוגתא פסוקה.</w:t>
      </w:r>
    </w:p>
    <w:p w:rsidR="00E7037F" w:rsidRDefault="00E7037F" w:rsidP="00E7037F">
      <w:pPr>
        <w:spacing w:line="360" w:lineRule="auto"/>
        <w:jc w:val="both"/>
      </w:pPr>
    </w:p>
    <w:p w:rsidR="00E7037F" w:rsidRDefault="00E7037F" w:rsidP="00E7037F">
      <w:pPr>
        <w:spacing w:line="360" w:lineRule="auto"/>
        <w:jc w:val="both"/>
        <w:rPr>
          <w:b/>
          <w:bCs/>
          <w:u w:val="single"/>
          <w:rtl/>
        </w:rPr>
      </w:pPr>
      <w:r>
        <w:rPr>
          <w:rFonts w:hint="cs"/>
          <w:b/>
          <w:bCs/>
          <w:u w:val="single"/>
          <w:rtl/>
        </w:rPr>
        <w:t>דיון מיום 23.9.24</w:t>
      </w:r>
    </w:p>
    <w:p w:rsidR="00E7037F" w:rsidRDefault="00E7037F" w:rsidP="00E7037F">
      <w:pPr>
        <w:spacing w:line="360" w:lineRule="auto"/>
        <w:jc w:val="both"/>
        <w:rPr>
          <w:rtl/>
        </w:rPr>
      </w:pPr>
    </w:p>
    <w:p w:rsidR="00E7037F" w:rsidRDefault="00E7037F" w:rsidP="00E7037F">
      <w:pPr>
        <w:pStyle w:val="ae"/>
        <w:numPr>
          <w:ilvl w:val="0"/>
          <w:numId w:val="1"/>
        </w:numPr>
        <w:spacing w:line="360" w:lineRule="auto"/>
        <w:jc w:val="both"/>
        <w:rPr>
          <w:rFonts w:cs="David"/>
        </w:rPr>
      </w:pPr>
      <w:r>
        <w:rPr>
          <w:rFonts w:cs="David" w:hint="cs"/>
          <w:rtl/>
        </w:rPr>
        <w:t>בדיון שהתקיים ביום 23.9.2024 הצדדים השמיעו את סיכומיהם בעל פה.</w:t>
      </w:r>
    </w:p>
    <w:p w:rsidR="00E7037F" w:rsidRDefault="00E7037F" w:rsidP="00E7037F">
      <w:pPr>
        <w:pStyle w:val="ae"/>
        <w:spacing w:line="360" w:lineRule="auto"/>
        <w:jc w:val="both"/>
        <w:rPr>
          <w:rFonts w:cs="David"/>
        </w:rPr>
      </w:pPr>
    </w:p>
    <w:p w:rsidR="00E7037F" w:rsidRDefault="00E7037F" w:rsidP="00E7037F">
      <w:pPr>
        <w:pStyle w:val="ae"/>
        <w:numPr>
          <w:ilvl w:val="0"/>
          <w:numId w:val="1"/>
        </w:numPr>
        <w:spacing w:line="360" w:lineRule="auto"/>
        <w:jc w:val="both"/>
        <w:rPr>
          <w:rFonts w:cs="David"/>
        </w:rPr>
      </w:pPr>
      <w:r>
        <w:rPr>
          <w:rFonts w:cs="David" w:hint="cs"/>
          <w:rtl/>
        </w:rPr>
        <w:t>במסגרת הסיכומים טענה התובעת, בין היתר, כי ההכרעה בפסק הדין בכל הנוגע לבעלות התובעת בדירה מהווה פלוגתא פסוקה ומעשה בית דין, כך שיש לברר את התביעה על דרך מינוי שמאי מקרקעין.</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t xml:space="preserve">במסגרת הסיכומים טענה הנתבעת, בין היתר, כי הקביעה </w:t>
      </w:r>
      <w:r>
        <w:rPr>
          <w:rFonts w:cs="David" w:hint="cs"/>
          <w:b/>
          <w:bCs/>
          <w:rtl/>
        </w:rPr>
        <w:t xml:space="preserve">בס' 29 לפסק הדין </w:t>
      </w:r>
      <w:r>
        <w:rPr>
          <w:rFonts w:cs="David" w:hint="cs"/>
          <w:rtl/>
        </w:rPr>
        <w:t xml:space="preserve">בכל הנוגע לבעלות התובעת בדירה, היא קביעה אגבית ואין לראות בה פלוגתא פסוקה. עוד נטען כי הקביעה </w:t>
      </w:r>
      <w:r>
        <w:rPr>
          <w:rFonts w:cs="David" w:hint="cs"/>
          <w:b/>
          <w:bCs/>
          <w:rtl/>
        </w:rPr>
        <w:t>בס' 27 לפסק הדין</w:t>
      </w:r>
      <w:r>
        <w:rPr>
          <w:rFonts w:cs="David" w:hint="cs"/>
          <w:rtl/>
        </w:rPr>
        <w:t xml:space="preserve"> אינה קביעה פוזיטיבית, וכי בית המשפט לא התכוון לקבוע מסמרות בעניין הבעלות בדירה. </w:t>
      </w:r>
    </w:p>
    <w:p w:rsidR="00E7037F" w:rsidRDefault="00E7037F" w:rsidP="00E7037F">
      <w:pPr>
        <w:pStyle w:val="ae"/>
        <w:spacing w:line="360" w:lineRule="auto"/>
        <w:rPr>
          <w:rFonts w:cs="David"/>
        </w:rPr>
      </w:pPr>
    </w:p>
    <w:p w:rsidR="00E7037F" w:rsidRDefault="00E7037F" w:rsidP="00E7037F">
      <w:pPr>
        <w:spacing w:line="360" w:lineRule="auto"/>
        <w:jc w:val="both"/>
        <w:rPr>
          <w:b/>
          <w:bCs/>
          <w:u w:val="single"/>
          <w:rtl/>
        </w:rPr>
      </w:pPr>
    </w:p>
    <w:p w:rsidR="00E7037F" w:rsidRDefault="00E7037F" w:rsidP="00E7037F">
      <w:pPr>
        <w:spacing w:line="360" w:lineRule="auto"/>
        <w:jc w:val="both"/>
        <w:rPr>
          <w:b/>
          <w:bCs/>
          <w:u w:val="single"/>
          <w:rtl/>
        </w:rPr>
      </w:pPr>
    </w:p>
    <w:p w:rsidR="00E7037F" w:rsidRDefault="00E7037F" w:rsidP="00E7037F">
      <w:pPr>
        <w:spacing w:line="360" w:lineRule="auto"/>
        <w:jc w:val="both"/>
        <w:rPr>
          <w:b/>
          <w:bCs/>
          <w:u w:val="single"/>
          <w:rtl/>
        </w:rPr>
      </w:pPr>
      <w:r>
        <w:rPr>
          <w:rFonts w:hint="cs"/>
          <w:b/>
          <w:bCs/>
          <w:u w:val="single"/>
          <w:rtl/>
        </w:rPr>
        <w:lastRenderedPageBreak/>
        <w:t>הכרעה</w:t>
      </w:r>
    </w:p>
    <w:p w:rsidR="00E7037F" w:rsidRDefault="00E7037F" w:rsidP="00E7037F">
      <w:pPr>
        <w:spacing w:line="360" w:lineRule="auto"/>
        <w:jc w:val="both"/>
        <w:rPr>
          <w:b/>
          <w:bCs/>
          <w:u w:val="single"/>
          <w:rtl/>
        </w:rPr>
      </w:pPr>
    </w:p>
    <w:p w:rsidR="00E7037F" w:rsidRDefault="00E7037F" w:rsidP="00E7037F">
      <w:pPr>
        <w:pStyle w:val="ae"/>
        <w:numPr>
          <w:ilvl w:val="0"/>
          <w:numId w:val="1"/>
        </w:numPr>
        <w:spacing w:line="360" w:lineRule="auto"/>
        <w:jc w:val="both"/>
        <w:rPr>
          <w:rFonts w:cs="David"/>
          <w:rtl/>
        </w:rPr>
      </w:pPr>
      <w:r>
        <w:rPr>
          <w:rFonts w:cs="David" w:hint="cs"/>
          <w:rtl/>
        </w:rPr>
        <w:t>לאחר עיון במלוא התשתית העובדתית והראייתית, הן בהליך הקודם והן בהליך הנוכחי, ושמיעת סיכומי הצדדים, הגעתי למסקנה כי יש לקבל את עמדת התובעת.</w:t>
      </w:r>
    </w:p>
    <w:p w:rsidR="00E7037F" w:rsidRDefault="00E7037F" w:rsidP="00E7037F">
      <w:pPr>
        <w:pStyle w:val="ae"/>
        <w:spacing w:line="360" w:lineRule="auto"/>
        <w:jc w:val="both"/>
        <w:rPr>
          <w:rFonts w:cs="David"/>
        </w:rPr>
      </w:pPr>
    </w:p>
    <w:p w:rsidR="00E7037F" w:rsidRDefault="00E7037F" w:rsidP="00E7037F">
      <w:pPr>
        <w:pStyle w:val="ae"/>
        <w:numPr>
          <w:ilvl w:val="0"/>
          <w:numId w:val="1"/>
        </w:numPr>
        <w:spacing w:line="360" w:lineRule="auto"/>
        <w:jc w:val="both"/>
        <w:rPr>
          <w:rFonts w:cs="David"/>
        </w:rPr>
      </w:pPr>
      <w:r>
        <w:rPr>
          <w:rFonts w:cs="David" w:hint="cs"/>
          <w:rtl/>
        </w:rPr>
        <w:t xml:space="preserve">ברע"א 6634/22 </w:t>
      </w:r>
      <w:r>
        <w:rPr>
          <w:rFonts w:cs="David" w:hint="cs"/>
          <w:b/>
          <w:bCs/>
          <w:rtl/>
        </w:rPr>
        <w:t>קידר מיכאל עו"ד מפרק החברה נ' אילן בן עמי, בפש"ר ואח'</w:t>
      </w:r>
      <w:r>
        <w:rPr>
          <w:rFonts w:cs="David" w:hint="cs"/>
          <w:rtl/>
        </w:rPr>
        <w:t xml:space="preserve"> (3.7.2023), סוכמה ההלכה אשר לפיה:</w:t>
      </w:r>
    </w:p>
    <w:p w:rsidR="00E7037F" w:rsidRDefault="00E7037F" w:rsidP="00E7037F">
      <w:pPr>
        <w:pStyle w:val="ae"/>
        <w:spacing w:line="360" w:lineRule="auto"/>
        <w:rPr>
          <w:rFonts w:cs="David"/>
        </w:rPr>
      </w:pPr>
    </w:p>
    <w:p w:rsidR="00E7037F" w:rsidRPr="00E7037F" w:rsidRDefault="00E7037F" w:rsidP="00E7037F">
      <w:pPr>
        <w:pStyle w:val="ae"/>
        <w:spacing w:line="360" w:lineRule="auto"/>
        <w:ind w:left="1076" w:right="851"/>
        <w:jc w:val="both"/>
        <w:rPr>
          <w:rFonts w:cs="David"/>
          <w:i/>
          <w:iCs/>
          <w:rtl/>
        </w:rPr>
      </w:pPr>
      <w:r w:rsidRPr="00E7037F">
        <w:rPr>
          <w:rFonts w:cs="David" w:hint="cs"/>
          <w:i/>
          <w:iCs/>
          <w:rtl/>
        </w:rPr>
        <w:t xml:space="preserve">"כידוע, הכלל של "מעשה בית דין" נועד להבטיח את סופיות הדיון. ההצדקה לו נעוצה בשני שיקולים עיקריים – הראשון הוא האינטרס הציבורי בסופיות הדיון המשפטי (ובכלל זה הקלת העומס על בית המשפט; הקטנת עלויות ההתדיינות של המערכת השיפוטית ועוד); והשני הוא האינטרס של בעל דין שלא יוטרד בשנית בשל עילה או פלוגתא שבה התדיין כבר בעבר בפני בית המשפט (ראו </w:t>
      </w:r>
      <w:hyperlink r:id="rId10" w:history="1">
        <w:r w:rsidRPr="00E7037F">
          <w:rPr>
            <w:rStyle w:val="Hyperlink"/>
            <w:rFonts w:cs="David" w:hint="cs"/>
            <w:i/>
            <w:iCs/>
            <w:color w:val="auto"/>
            <w:u w:val="none"/>
            <w:rtl/>
          </w:rPr>
          <w:t>ע"א 4087/04</w:t>
        </w:r>
      </w:hyperlink>
      <w:r w:rsidRPr="00E7037F">
        <w:rPr>
          <w:rFonts w:cs="David" w:hint="cs"/>
          <w:i/>
          <w:iCs/>
          <w:rtl/>
        </w:rPr>
        <w:t xml:space="preserve"> גורה נ' בנק לאומי לישראל בע"מ, פסקה 7 לפסק דינה של השופטת ארבל [פורסם בנבו] (8.9.2005)). בענייננו, מאחר שהמפרק מעלה טענה שאותה כבר העלה במסגרת הליך אחר, ושביחס אליה כבר ניתנה הכרעה, הרי שמתקיים השתק פלוגתא – השתק המונע מבעל דין להעלות פעם נוספת טענה שכבר נדונה והוכרעה (וראו נינה </w:t>
      </w:r>
      <w:hyperlink r:id="rId11" w:history="1">
        <w:r w:rsidRPr="00E7037F">
          <w:rPr>
            <w:rStyle w:val="Hyperlink"/>
            <w:rFonts w:cs="David" w:hint="cs"/>
            <w:i/>
            <w:iCs/>
            <w:color w:val="auto"/>
            <w:u w:val="none"/>
            <w:rtl/>
          </w:rPr>
          <w:t>זלצמן מעשה בית דין בהליך</w:t>
        </w:r>
      </w:hyperlink>
      <w:r w:rsidRPr="00E7037F">
        <w:rPr>
          <w:rFonts w:cs="David" w:hint="cs"/>
          <w:i/>
          <w:iCs/>
          <w:rtl/>
        </w:rPr>
        <w:t xml:space="preserve"> אזרחי 137 (1991)).</w:t>
      </w:r>
    </w:p>
    <w:p w:rsidR="00E7037F" w:rsidRDefault="00E7037F" w:rsidP="00E7037F">
      <w:pPr>
        <w:pStyle w:val="ae"/>
        <w:spacing w:line="360" w:lineRule="auto"/>
        <w:ind w:left="1076" w:right="851"/>
        <w:jc w:val="both"/>
        <w:rPr>
          <w:rFonts w:cs="David"/>
          <w:i/>
          <w:iCs/>
          <w:rtl/>
        </w:rPr>
      </w:pPr>
    </w:p>
    <w:p w:rsidR="00E7037F" w:rsidRPr="00E7037F" w:rsidRDefault="00E7037F" w:rsidP="00E7037F">
      <w:pPr>
        <w:pStyle w:val="ae"/>
        <w:spacing w:line="360" w:lineRule="auto"/>
        <w:ind w:left="1076" w:right="851"/>
        <w:jc w:val="both"/>
        <w:rPr>
          <w:rFonts w:cs="David"/>
          <w:i/>
          <w:iCs/>
          <w:rtl/>
        </w:rPr>
      </w:pPr>
      <w:r w:rsidRPr="00E7037F">
        <w:rPr>
          <w:rFonts w:cs="David" w:hint="cs"/>
          <w:i/>
          <w:iCs/>
          <w:rtl/>
        </w:rPr>
        <w:t xml:space="preserve">כידוע, כדי שיחול השתק פלוגתא, צריכים להתקיים ארבעה תנאים עיקריים: הראשון – צריכה להיות זהות עובדתית ומשפטית בין הפלוגתא שהוכרעה בהליך הראשון לבין זו העומדת לדיון במקרה הנוכחי; השני – יש לוודא כי במסגרת ההתדיינות הקודמת נקבע ממצא פוזיטיבי (להבדיל ממצא שנקבע עקב היעדר הוכחה); השלישי – נדרש כי ההכרעה בפלוגתא תהיה חיונית לתוצאה הסופית שנקבעה בהתדיינות הראשונה; והרביעי – נדרשת זהות בין בעלי הדין בהתדיינות הקודמת לבעלי הדין בהתדיינות הנוכחית (ראו </w:t>
      </w:r>
      <w:hyperlink r:id="rId12" w:history="1">
        <w:r w:rsidRPr="00E7037F">
          <w:rPr>
            <w:rStyle w:val="Hyperlink"/>
            <w:rFonts w:cs="David" w:hint="cs"/>
            <w:i/>
            <w:iCs/>
            <w:color w:val="auto"/>
            <w:u w:val="none"/>
            <w:rtl/>
          </w:rPr>
          <w:t>ע"א 9551/04</w:t>
        </w:r>
      </w:hyperlink>
      <w:r w:rsidRPr="00E7037F">
        <w:rPr>
          <w:rFonts w:cs="David" w:hint="cs"/>
          <w:i/>
          <w:iCs/>
          <w:rtl/>
        </w:rPr>
        <w:t xml:space="preserve"> אספן בניה ופיתוח בע"מ נ' מדינת ישראל, פסקה 14 [פורסם בנבו] (12.10.2019))".</w:t>
      </w:r>
    </w:p>
    <w:p w:rsidR="00E7037F" w:rsidRDefault="00E7037F" w:rsidP="00E7037F">
      <w:pPr>
        <w:pStyle w:val="ae"/>
        <w:spacing w:line="360" w:lineRule="auto"/>
        <w:ind w:left="1076" w:right="851"/>
        <w:jc w:val="both"/>
        <w:rPr>
          <w:rFonts w:cs="David"/>
          <w:i/>
          <w:iCs/>
          <w:rtl/>
        </w:rPr>
      </w:pPr>
    </w:p>
    <w:p w:rsidR="00E7037F" w:rsidRDefault="00E7037F" w:rsidP="00E7037F">
      <w:pPr>
        <w:pStyle w:val="ae"/>
        <w:numPr>
          <w:ilvl w:val="0"/>
          <w:numId w:val="1"/>
        </w:numPr>
        <w:spacing w:line="360" w:lineRule="auto"/>
        <w:jc w:val="both"/>
        <w:rPr>
          <w:rFonts w:cs="David"/>
          <w:rtl/>
        </w:rPr>
      </w:pPr>
      <w:r>
        <w:rPr>
          <w:rFonts w:cs="David" w:hint="cs"/>
          <w:rtl/>
        </w:rPr>
        <w:t xml:space="preserve">על רקע פסיקה זו יש לקבוע האם הקביעה </w:t>
      </w:r>
      <w:r>
        <w:rPr>
          <w:rFonts w:cs="David" w:hint="cs"/>
          <w:b/>
          <w:bCs/>
          <w:rtl/>
        </w:rPr>
        <w:t xml:space="preserve">בס' 29 לפסק הדין </w:t>
      </w:r>
      <w:r>
        <w:rPr>
          <w:rFonts w:cs="David" w:hint="cs"/>
          <w:rtl/>
        </w:rPr>
        <w:t>מהווה מעשה בית דין.</w:t>
      </w:r>
    </w:p>
    <w:p w:rsidR="00E7037F" w:rsidRDefault="00E7037F" w:rsidP="00E7037F">
      <w:pPr>
        <w:pStyle w:val="ae"/>
        <w:spacing w:line="360" w:lineRule="auto"/>
        <w:jc w:val="both"/>
        <w:rPr>
          <w:rFonts w:cs="David"/>
          <w:rtl/>
        </w:rPr>
      </w:pPr>
    </w:p>
    <w:p w:rsidR="00E7037F" w:rsidRDefault="00E7037F" w:rsidP="00E7037F">
      <w:pPr>
        <w:pStyle w:val="ae"/>
        <w:spacing w:line="360" w:lineRule="auto"/>
        <w:jc w:val="both"/>
        <w:rPr>
          <w:rFonts w:cs="David"/>
          <w:rtl/>
        </w:rPr>
      </w:pPr>
    </w:p>
    <w:p w:rsidR="00E7037F" w:rsidRDefault="00E7037F" w:rsidP="00E7037F">
      <w:pPr>
        <w:pStyle w:val="ae"/>
        <w:spacing w:line="360" w:lineRule="auto"/>
        <w:jc w:val="both"/>
        <w:rPr>
          <w:rFonts w:cs="David"/>
        </w:rPr>
      </w:pPr>
    </w:p>
    <w:p w:rsidR="00E7037F" w:rsidRDefault="00E7037F" w:rsidP="00E7037F">
      <w:pPr>
        <w:pStyle w:val="ae"/>
        <w:spacing w:line="360" w:lineRule="auto"/>
        <w:jc w:val="both"/>
        <w:rPr>
          <w:rFonts w:cs="David"/>
        </w:rPr>
      </w:pPr>
      <w:r>
        <w:rPr>
          <w:rFonts w:cs="David" w:hint="cs"/>
          <w:u w:val="single"/>
          <w:rtl/>
        </w:rPr>
        <w:lastRenderedPageBreak/>
        <w:t>התנאי הראשון</w:t>
      </w:r>
      <w:r>
        <w:rPr>
          <w:rFonts w:cs="David" w:hint="cs"/>
          <w:rtl/>
        </w:rPr>
        <w:t xml:space="preserve"> – קיומה של זהות עובדתית ומשפטית בין הפלוגתא שהוכרעה בהליך הקודם לבין זו העומדת לדיון הליך הנוכחי – אין מחלוקת כי שני ההליכים, הן ההליך הקודם והן ההליך הנוכחי, עניינם דמי שימוש ראויים בגין שימוש שעשתה הנתבעת בדירה, וישנה זהות עובדתית ומשפטית בפלוגתא שהוכרעה בהליך הקודם בעניין בעלות התובעת בדירה, לבין הפלוגתא העומדת לפתחי בהליך הנוכחי.</w:t>
      </w:r>
    </w:p>
    <w:p w:rsidR="00E7037F" w:rsidRDefault="00E7037F" w:rsidP="00E7037F">
      <w:pPr>
        <w:pStyle w:val="ae"/>
        <w:spacing w:line="360" w:lineRule="auto"/>
        <w:jc w:val="both"/>
        <w:rPr>
          <w:rFonts w:cs="David"/>
        </w:rPr>
      </w:pPr>
    </w:p>
    <w:p w:rsidR="00E7037F" w:rsidRDefault="00E7037F" w:rsidP="007702A2">
      <w:pPr>
        <w:pStyle w:val="ae"/>
        <w:spacing w:line="360" w:lineRule="auto"/>
        <w:jc w:val="both"/>
        <w:rPr>
          <w:rFonts w:cs="David"/>
          <w:rtl/>
        </w:rPr>
      </w:pPr>
      <w:r>
        <w:rPr>
          <w:rFonts w:cs="David" w:hint="cs"/>
          <w:u w:val="single"/>
          <w:rtl/>
        </w:rPr>
        <w:t>התנאי השני</w:t>
      </w:r>
      <w:r>
        <w:rPr>
          <w:rFonts w:cs="David" w:hint="cs"/>
          <w:rtl/>
        </w:rPr>
        <w:t xml:space="preserve"> – קביעת ממצא פוזיטיבי במסגרת ההתדיינות הקודמת – הקביעה </w:t>
      </w:r>
      <w:r>
        <w:rPr>
          <w:rFonts w:cs="David" w:hint="cs"/>
          <w:b/>
          <w:bCs/>
          <w:rtl/>
        </w:rPr>
        <w:t>בס' 29 לפסק הדין</w:t>
      </w:r>
      <w:r>
        <w:rPr>
          <w:rFonts w:cs="David" w:hint="cs"/>
          <w:rtl/>
        </w:rPr>
        <w:t xml:space="preserve"> ולפיה: "... התובעת הוכיחה, על-פי מאזן ההסתברויות ולצורך הכרעה בהליך זה בלבד וכקביעה אגבית, כי היא בעלת הזכויות בדירה" – היא קביעה פוזיטיבית, אשר נשענת על ראיה בדמות של ייפוי כוח שנתן </w:t>
      </w:r>
      <w:r w:rsidRPr="00834A15">
        <w:rPr>
          <w:rFonts w:cs="David" w:hint="cs"/>
          <w:b/>
          <w:bCs/>
          <w:u w:val="single"/>
          <w:rtl/>
        </w:rPr>
        <w:t>ס</w:t>
      </w:r>
      <w:r w:rsidR="007702A2" w:rsidRPr="00834A15">
        <w:rPr>
          <w:rFonts w:cs="David" w:hint="cs"/>
          <w:b/>
          <w:bCs/>
          <w:u w:val="single"/>
          <w:rtl/>
        </w:rPr>
        <w:t>'</w:t>
      </w:r>
      <w:r>
        <w:rPr>
          <w:rFonts w:cs="David" w:hint="cs"/>
          <w:rtl/>
        </w:rPr>
        <w:t xml:space="preserve"> לתובעת ביום 30.6.2018 – אשר הובילה להטיית כף המאזניים לטובת התובעת. למותר לציין גם כי על פסק הדין לא הוגש ערעור והקביעה הפכה לחלוטה.</w:t>
      </w:r>
    </w:p>
    <w:p w:rsidR="00E7037F" w:rsidRDefault="00E7037F" w:rsidP="00E7037F">
      <w:pPr>
        <w:pStyle w:val="ae"/>
        <w:spacing w:line="360" w:lineRule="auto"/>
        <w:jc w:val="both"/>
        <w:rPr>
          <w:rFonts w:cs="David"/>
        </w:rPr>
      </w:pPr>
    </w:p>
    <w:p w:rsidR="00E7037F" w:rsidRDefault="00E7037F" w:rsidP="00E7037F">
      <w:pPr>
        <w:pStyle w:val="ae"/>
        <w:spacing w:line="360" w:lineRule="auto"/>
        <w:jc w:val="both"/>
        <w:rPr>
          <w:rFonts w:cs="David"/>
        </w:rPr>
      </w:pPr>
      <w:r>
        <w:rPr>
          <w:rFonts w:cs="David" w:hint="cs"/>
          <w:u w:val="single"/>
          <w:rtl/>
        </w:rPr>
        <w:t>התנאי השלישי</w:t>
      </w:r>
      <w:r>
        <w:rPr>
          <w:rFonts w:cs="David" w:hint="cs"/>
          <w:rtl/>
        </w:rPr>
        <w:t xml:space="preserve"> – ההכרעה בפלוגתא תהיה חיונית לתוצאה הסופית שנקבעה בהתדיינות הראשונה – הפלוגתא בעניין הבעלות בדירה הייתה חיונית לתוצאה הסופית בהליך הקודם והיא אף חיונית לתוצאה הסופית בהליך הנוכחי. </w:t>
      </w:r>
    </w:p>
    <w:p w:rsidR="00E7037F" w:rsidRDefault="00E7037F" w:rsidP="00E7037F">
      <w:pPr>
        <w:pStyle w:val="ae"/>
        <w:spacing w:line="360" w:lineRule="auto"/>
        <w:jc w:val="both"/>
        <w:rPr>
          <w:rFonts w:cs="David"/>
        </w:rPr>
      </w:pPr>
    </w:p>
    <w:p w:rsidR="00E7037F" w:rsidRDefault="00E7037F" w:rsidP="00E7037F">
      <w:pPr>
        <w:pStyle w:val="ae"/>
        <w:spacing w:line="360" w:lineRule="auto"/>
        <w:jc w:val="both"/>
        <w:rPr>
          <w:rFonts w:cs="David"/>
        </w:rPr>
      </w:pPr>
      <w:r>
        <w:rPr>
          <w:rFonts w:cs="David" w:hint="cs"/>
          <w:u w:val="single"/>
          <w:rtl/>
        </w:rPr>
        <w:t>התנאי הרביעי</w:t>
      </w:r>
      <w:r>
        <w:rPr>
          <w:rFonts w:cs="David" w:hint="cs"/>
          <w:rtl/>
        </w:rPr>
        <w:t xml:space="preserve"> –קיומה של זהות בין בעלי הדין בהתדיינות הקודמת לבעלי הדין בהתדיינות הנוכחית – אין מחלוקת כי ישנה זהות בין בעלי הדין בהליך הקודם לבין בעלי הדין בהליך הנוכחי.</w:t>
      </w:r>
    </w:p>
    <w:p w:rsidR="00E7037F" w:rsidRDefault="00E7037F" w:rsidP="00E7037F">
      <w:pPr>
        <w:pStyle w:val="ae"/>
        <w:spacing w:line="360" w:lineRule="auto"/>
        <w:jc w:val="both"/>
        <w:rPr>
          <w:rFonts w:cs="David"/>
          <w:rtl/>
        </w:rPr>
      </w:pPr>
    </w:p>
    <w:p w:rsidR="00E7037F" w:rsidRDefault="00E7037F" w:rsidP="00E7037F">
      <w:pPr>
        <w:pStyle w:val="ae"/>
        <w:numPr>
          <w:ilvl w:val="0"/>
          <w:numId w:val="1"/>
        </w:numPr>
        <w:spacing w:line="360" w:lineRule="auto"/>
        <w:jc w:val="both"/>
        <w:rPr>
          <w:rFonts w:cs="David"/>
          <w:rtl/>
        </w:rPr>
      </w:pPr>
      <w:r>
        <w:rPr>
          <w:rFonts w:cs="David" w:hint="cs"/>
          <w:rtl/>
        </w:rPr>
        <w:t>רוצה לומר כי מתקיימים כל ארבעת התנאים בהתאם לפסיקה על מנת לקבוע כי הקביעה בס' 29 לפסק הדין, בכל הנוגע לבעלות בדירה, מהווה מעשה בית דין, והתובעת לא נדרשת להוכיח את נושא הבעלות בדירה פעם נוספת במסגרת הליך זה.</w:t>
      </w:r>
    </w:p>
    <w:p w:rsidR="00E7037F" w:rsidRDefault="00E7037F" w:rsidP="00E7037F">
      <w:pPr>
        <w:pStyle w:val="ae"/>
        <w:spacing w:line="360" w:lineRule="auto"/>
        <w:jc w:val="both"/>
        <w:rPr>
          <w:rFonts w:cs="David"/>
        </w:rPr>
      </w:pPr>
    </w:p>
    <w:p w:rsidR="00E7037F" w:rsidRDefault="00E7037F" w:rsidP="00E7037F">
      <w:pPr>
        <w:pStyle w:val="ae"/>
        <w:numPr>
          <w:ilvl w:val="0"/>
          <w:numId w:val="1"/>
        </w:numPr>
        <w:spacing w:line="360" w:lineRule="auto"/>
        <w:jc w:val="both"/>
        <w:rPr>
          <w:rFonts w:cs="David"/>
        </w:rPr>
      </w:pPr>
      <w:r>
        <w:rPr>
          <w:rFonts w:cs="David" w:hint="cs"/>
          <w:rtl/>
        </w:rPr>
        <w:t xml:space="preserve">במסגרת הסיכומים טענה הנתבעת כי הקביעה האגבית בכל הנוגע לבעלות התובעת בדירה, כוחה יפה להליך הקודם בלבד. לא ניתן לקבל טענה זו: המשמעות של הקביעה האגבית בכל הנוגע לבעלות התובעת בדירה, היא כי התובעת איננה יכולה לעשות שימוש בקביעה זו, למשל, לצורך רישום הדירה על שמה, וכוחה של הקביעה האגבית יפה לצורך ההתדיינות בין התובעת לנתבעת בלבד. </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t xml:space="preserve">בנוסף, הפרשנות התכליתית של הקביעה "לצורך הכרעה בהליך זה בלבד" </w:t>
      </w:r>
      <w:r>
        <w:rPr>
          <w:rFonts w:cs="David" w:hint="cs"/>
          <w:b/>
          <w:bCs/>
          <w:rtl/>
        </w:rPr>
        <w:t xml:space="preserve">ראו: ס' 29 לפסק הדין, </w:t>
      </w:r>
      <w:r>
        <w:rPr>
          <w:rFonts w:cs="David" w:hint="cs"/>
          <w:rtl/>
        </w:rPr>
        <w:t>כוחה יפה על כל תביעה של התובעת כנגד הנתבעת, ובכלל זה: סוגיית דמי השימוש בדירה.</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lastRenderedPageBreak/>
        <w:t>התוצאה היא כי עמדת התובעת מתקבלת ועמדת הנתבעת נדחית.</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t>המשמעות המעשית של תוצאה זו היא, כי התובעת לא נדרשת, במסגרת הליך זה, להוכיח את בעלותה בדירה.</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t>לאור התוצאה, סבורני כי יש לקבל את טענת התובעת בדבר מינוי שמאי מקרקעין לצורך הערכת שווי דמי השכירות בדירה, וכך ייקבע ככל שלא תוגש התנגדות עניינית בתוך 7 ימים.</w:t>
      </w:r>
    </w:p>
    <w:p w:rsidR="00E7037F" w:rsidRDefault="00E7037F" w:rsidP="00E7037F">
      <w:pPr>
        <w:pStyle w:val="ae"/>
        <w:spacing w:line="360" w:lineRule="auto"/>
        <w:rPr>
          <w:rFonts w:cs="David"/>
        </w:rPr>
      </w:pPr>
    </w:p>
    <w:p w:rsidR="00E7037F" w:rsidRDefault="00E7037F" w:rsidP="00E7037F">
      <w:pPr>
        <w:pStyle w:val="ae"/>
        <w:numPr>
          <w:ilvl w:val="0"/>
          <w:numId w:val="1"/>
        </w:numPr>
        <w:spacing w:line="360" w:lineRule="auto"/>
        <w:jc w:val="both"/>
        <w:rPr>
          <w:rFonts w:cs="David"/>
          <w:rtl/>
        </w:rPr>
      </w:pPr>
      <w:r>
        <w:rPr>
          <w:rFonts w:cs="David" w:hint="cs"/>
          <w:rtl/>
        </w:rPr>
        <w:t>סוגיית הוצאות משפט תדון בתום ההליך.</w:t>
      </w:r>
    </w:p>
    <w:p w:rsidR="00E7037F" w:rsidRDefault="00E7037F" w:rsidP="00E7037F">
      <w:pPr>
        <w:pStyle w:val="ae"/>
        <w:spacing w:line="360" w:lineRule="auto"/>
        <w:rPr>
          <w:rFonts w:cs="David"/>
        </w:rPr>
      </w:pPr>
    </w:p>
    <w:p w:rsidR="006A267E" w:rsidRPr="00E47E97" w:rsidRDefault="006A267E" w:rsidP="006A267E">
      <w:pPr>
        <w:spacing w:line="360" w:lineRule="auto"/>
        <w:jc w:val="both"/>
        <w:rPr>
          <w:b/>
          <w:bCs/>
        </w:rPr>
      </w:pPr>
      <w:r w:rsidRPr="00E47E97">
        <w:rPr>
          <w:rFonts w:ascii="David" w:eastAsia="David" w:hAnsi="David" w:hint="cs"/>
          <w:b/>
          <w:bCs/>
          <w:noProof w:val="0"/>
          <w:rtl/>
        </w:rPr>
        <w:t>מתיר את פרסום ההחלטה לאחר השמטת פרטים מזהים.</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כ"א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24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2145417118"/>
        </w:sdtPr>
        <w:sdtEndPr/>
        <w:sdtContent>
          <w:r w:rsidR="00131A91">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802" w:rsidRDefault="005E7802">
      <w:r>
        <w:separator/>
      </w:r>
    </w:p>
  </w:endnote>
  <w:endnote w:type="continuationSeparator" w:id="0">
    <w:p w:rsidR="005E7802" w:rsidRDefault="005E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53" w:rsidRDefault="000865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B16C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B16CC">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53" w:rsidRDefault="000865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802" w:rsidRDefault="005E7802">
      <w:r>
        <w:separator/>
      </w:r>
    </w:p>
  </w:footnote>
  <w:footnote w:type="continuationSeparator" w:id="0">
    <w:p w:rsidR="005E7802" w:rsidRDefault="005E7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53" w:rsidRDefault="000865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24 ספטמבר 2024</w:t>
              </w:r>
            </w:p>
          </w:tc>
        </w:sdtContent>
      </w:sdt>
    </w:tr>
    <w:tr w:rsidR="002914D6">
      <w:trPr>
        <w:trHeight w:val="337"/>
        <w:jc w:val="center"/>
      </w:trPr>
      <w:tc>
        <w:tcPr>
          <w:tcW w:w="8721" w:type="dxa"/>
          <w:gridSpan w:val="2"/>
        </w:tcPr>
        <w:p w:rsidR="002914D6" w:rsidRDefault="005E7802" w:rsidP="006A267E">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20437-03-24</w:t>
              </w:r>
            </w:sdtContent>
          </w:sdt>
          <w:r w:rsidR="00011212">
            <w:rPr>
              <w:b/>
              <w:bCs/>
              <w:noProof w:val="0"/>
              <w:sz w:val="26"/>
              <w:szCs w:val="26"/>
              <w:rtl/>
            </w:rPr>
            <w:t xml:space="preserve"> </w:t>
          </w:r>
          <w:sdt>
            <w:sdtPr>
              <w:rPr>
                <w:rtl/>
              </w:rPr>
              <w:alias w:val="1172"/>
              <w:tag w:val="1172"/>
              <w:id w:val="1484202908"/>
              <w:text w:multiLine="1"/>
            </w:sdtPr>
            <w:sdtEndPr/>
            <w:sdtContent>
              <w:r w:rsidR="006A267E">
                <w:rPr>
                  <w:rFonts w:hint="cs"/>
                  <w:b/>
                  <w:bCs/>
                  <w:noProof w:val="0"/>
                  <w:sz w:val="26"/>
                  <w:szCs w:val="26"/>
                  <w:rtl/>
                </w:rPr>
                <w:t>ל.נ.</w:t>
              </w:r>
              <w:r w:rsidR="00CC29C2">
                <w:rPr>
                  <w:b/>
                  <w:bCs/>
                  <w:noProof w:val="0"/>
                  <w:sz w:val="26"/>
                  <w:szCs w:val="26"/>
                  <w:rtl/>
                </w:rPr>
                <w:t xml:space="preserve"> נ' </w:t>
              </w:r>
              <w:r w:rsidR="006A267E">
                <w:rPr>
                  <w:rFonts w:hint="cs"/>
                  <w:b/>
                  <w:bCs/>
                  <w:noProof w:val="0"/>
                  <w:sz w:val="26"/>
                  <w:szCs w:val="26"/>
                  <w:rtl/>
                </w:rPr>
                <w:t>ו.נ.</w:t>
              </w:r>
            </w:sdtContent>
          </w:sdt>
        </w:p>
        <w:p w:rsidR="002914D6" w:rsidRDefault="002914D6">
          <w:pPr>
            <w:rPr>
              <w:rtl/>
            </w:rPr>
          </w:pPr>
        </w:p>
        <w:p w:rsidR="007A7DEF" w:rsidRDefault="007A7DEF">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53" w:rsidRDefault="000865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671"/>
    <w:multiLevelType w:val="hybridMultilevel"/>
    <w:tmpl w:val="FADEE1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83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8382&amp;lt;/CaseID&amp;gt;_x000d__x000a_        &amp;lt;CaseMonth&amp;gt;3&amp;lt;/CaseMonth&amp;gt;_x000d__x000a_        &amp;lt;CaseYear&amp;gt;2024&amp;lt;/CaseYear&amp;gt;_x000d__x000a_        &amp;lt;CaseNumber&amp;gt;20437&amp;lt;/CaseNumber&amp;gt;_x000d__x000a_        &amp;lt;NumeratorGroupID&amp;gt;1&amp;lt;/NumeratorGroupID&amp;gt;_x000d__x000a_        &amp;lt;CaseName&amp;gt;נמר נ&amp;#39; נמר&amp;lt;/CaseName&amp;gt;_x000d__x000a_        &amp;lt;CourtID&amp;gt;30&amp;lt;/CourtID&amp;gt;_x000d__x000a_        &amp;lt;CaseTypeID&amp;gt;15&amp;lt;/CaseTypeID&amp;gt;_x000d__x000a_        &amp;lt;CaseInterestID&amp;gt;10115&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37-03-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23T11:30:00+03:00&amp;lt;/CasePreviousSessionDate&amp;gt;_x000d__x000a_        &amp;lt;CaseNextDeterminingTask&amp;gt;257&amp;lt;/CaseNextDeterminingTask&amp;gt;_x000d__x000a_        &amp;lt;TemporaryAidStatus /&amp;gt;_x000d__x000a_        &amp;lt;CaseOpenDate&amp;gt;2024-03-10T15:31: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38&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8382&amp;lt;/CaseID&amp;gt;_x000d__x000a_        &amp;lt;CaseMonth&amp;gt;3&amp;lt;/CaseMonth&amp;gt;_x000d__x000a_        &amp;lt;CaseYear&amp;gt;2024&amp;lt;/CaseYear&amp;gt;_x000d__x000a_        &amp;lt;CaseNumber&amp;gt;20437&amp;lt;/CaseNumber&amp;gt;_x000d__x000a_        &amp;lt;NumeratorGroupID&amp;gt;1&amp;lt;/NumeratorGroupID&amp;gt;_x000d__x000a_        &amp;lt;CaseName&amp;gt;נמר נ&amp;#39; נמר&amp;lt;/CaseName&amp;gt;_x000d__x000a_        &amp;lt;CourtID&amp;gt;30&amp;lt;/CourtID&amp;gt;_x000d__x000a_        &amp;lt;CaseTypeID&amp;gt;15&amp;lt;/CaseTypeID&amp;gt;_x000d__x000a_        &amp;lt;CaseInterestID&amp;gt;10115&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37-03-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4-03-10T15:31: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4T09:18:28.3387784+03:00&amp;lt;/DecisionStatusChangeDate&amp;gt;_x000d__x000a_        &amp;lt;DecisionSignatureDate&amp;gt;2024-09-24T09:18:28.3387784+03:00&amp;lt;/DecisionSignatureDate&amp;gt;_x000d__x000a_        &amp;lt;DecisionSignatureUserID&amp;gt;306840554@GOV.IL&amp;lt;/DecisionSignatureUserID&amp;gt;_x000d__x000a_        &amp;lt;DecisionCreateDate&amp;gt;2024-09-24T09:18:28.3387784+03:00&amp;lt;/DecisionCreateDate&amp;gt;_x000d__x000a_        &amp;lt;DecisionChangeDate&amp;gt;2024-09-24T09:18:28.3387784+03: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5838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0"/>
    <w:docVar w:name="NGCS.TemplateProceedingID" w:val="3"/>
    <w:docVar w:name="SelectedDocumentID" w:val="455977659"/>
    <w:docVar w:name="WordClientAssemblyName" w:val="NGCS.Decision.ClientWordBL"/>
    <w:docVar w:name="WordClientClassName" w:val="NGCS.Decision.ClientWordBL.DecisionClient"/>
  </w:docVars>
  <w:rsids>
    <w:rsidRoot w:val="002914D6"/>
    <w:rsid w:val="00011212"/>
    <w:rsid w:val="00086553"/>
    <w:rsid w:val="00131A91"/>
    <w:rsid w:val="0014058F"/>
    <w:rsid w:val="0019474B"/>
    <w:rsid w:val="00273D47"/>
    <w:rsid w:val="002856D3"/>
    <w:rsid w:val="002914D6"/>
    <w:rsid w:val="002F5307"/>
    <w:rsid w:val="003633C2"/>
    <w:rsid w:val="003A0652"/>
    <w:rsid w:val="003A69E5"/>
    <w:rsid w:val="004F4787"/>
    <w:rsid w:val="00530E94"/>
    <w:rsid w:val="005E66BB"/>
    <w:rsid w:val="005E7802"/>
    <w:rsid w:val="006A267E"/>
    <w:rsid w:val="006A3AA3"/>
    <w:rsid w:val="007702A2"/>
    <w:rsid w:val="007A7DEF"/>
    <w:rsid w:val="00822AA5"/>
    <w:rsid w:val="00834A15"/>
    <w:rsid w:val="00904FA7"/>
    <w:rsid w:val="00921E03"/>
    <w:rsid w:val="009A04C9"/>
    <w:rsid w:val="009D1711"/>
    <w:rsid w:val="00A7661B"/>
    <w:rsid w:val="00AB16CC"/>
    <w:rsid w:val="00B234CE"/>
    <w:rsid w:val="00B31305"/>
    <w:rsid w:val="00CC29C2"/>
    <w:rsid w:val="00CE7F78"/>
    <w:rsid w:val="00D22C46"/>
    <w:rsid w:val="00DA714E"/>
    <w:rsid w:val="00E7037F"/>
    <w:rsid w:val="00E72C9F"/>
    <w:rsid w:val="00EC118E"/>
    <w:rsid w:val="00F50E07"/>
    <w:rsid w:val="00F863E1"/>
    <w:rsid w:val="00FD394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E7037F"/>
    <w:pPr>
      <w:spacing w:line="254" w:lineRule="auto"/>
      <w:ind w:left="720"/>
      <w:contextualSpacing/>
    </w:pPr>
    <w:rPr>
      <w:rFonts w:ascii="David" w:hAnsi="David" w:cs="Arial"/>
      <w:noProof w:val="0"/>
    </w:rPr>
  </w:style>
  <w:style w:type="character" w:styleId="Hyperlink">
    <w:name w:val="Hyperlink"/>
    <w:basedOn w:val="a0"/>
    <w:semiHidden/>
    <w:unhideWhenUsed/>
    <w:rsid w:val="00E703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087326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nevo.co.il/case/5772153"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safrut/bookgroup/805"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evo.co.il/case/5877870"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נזי ריאן</FullName>
        <FirstName>נזי</FirstName>
        <LastName>ריאן</LastName>
        <PartyPropertyName/>
        <AuthenticationTypeAndNumber>מ.ר. 52654</AuthenticationTypeAndNumber>
        <RepresentatedOrRepresentativesNames>ויולית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276068419</CasePartyID>
        <PartyTypeID>2</PartyTypeID>
        <ActivityStatusID>1</ActivityStatusID>
        <PartyAliasID>21</PartyAliasID>
        <PartyAliasName>בא כוח נתבעים</PartyAliasName>
        <LegalEntityID>33128773</LegalEntityID>
        <CaseLegalEntityID>131766848</CaseLegalEntityID>
        <AuthenticationTypeID>4</AuthenticationTypeID>
        <AuthenticationTypeName>מ.ר.</AuthenticationTypeName>
        <LegalEntityNumber>52654</LegalEntityNumber>
        <IsMainPartyType>true</IsMainPartyType>
        <CaseDisplayIdentifier>20437-03-24</CaseDisplayIdentifier>
        <CaseTypeID>15</CaseTypeID>
        <CaseTypeName>תיק משפחה (תמ"ש)</CaseTypeName>
        <CaseName>נמר נ' נמר</CaseName>
        <FullAddress>כפר ברא כפר ברא </FullAddress>
        <EmailAddress>nazihryyan@gmail.com</EmailAddress>
        <MotionID>0</MotionID>
        <CasePleaID>0</CasePleaID>
        <LinkedCaseID>0</LinkedCaseID>
        <PartyID>2</PartyID>
        <CasePartyCategoryID>2</CasePartyCategoryID>
        <LegalEntityAddressID>71391676</LegalEntityAddressID>
        <LegalEntityEmailAddressID>31824020</LegalEntityEmailAddressID>
        <PleaTypeID>4</PleaTypeID>
        <LawyerOfficeName>משרד עו"ד נזי ריאן</LawyerOfficeName>
        <LawyerOfficeID>33128774</LawyerOfficeID>
        <GroupPartyAlias/>
        <IsConverted>false</IsConverted>
        <LegalEntityNameID>34919144</LegalEntityNameID>
        <RepresentatedNamesOfAssistant/>
        <LegalEntityTypeID>4</LegalEntityTypeID>
        <IsVerdictExists>false</IsVerdictExists>
        <IsAsirAzir>false</IsAsirAzir>
        <MainAndSecSpec/>
        <IsPublicationProhibited>false</IsPublicationProhibited>
        <PublicationProhibitedFullName>נזי ריאן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ראובן נחום</FullName>
        <FirstName>ראובן</FirstName>
        <LastName>נחום</LastName>
        <PartyPropertyName/>
        <AuthenticationTypeAndNumber>מ.ר. 84342</AuthenticationTypeAndNumber>
        <RepresentatedOrRepresentativesNames>ויולית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270021310</CasePartyID>
        <PartyTypeID>2</PartyTypeID>
        <ActivityStatusID>1</ActivityStatusID>
        <PartyAliasID>21</PartyAliasID>
        <PartyAliasName>בא כוח נתבעים</PartyAliasName>
        <LegalEntityID>80118232</LegalEntityID>
        <CaseLegalEntityID>128838816</CaseLegalEntityID>
        <AuthenticationTypeID>4</AuthenticationTypeID>
        <AuthenticationTypeName>מ.ר.</AuthenticationTypeName>
        <LegalEntityNumber>84342</LegalEntityNumber>
        <IsMainPartyType>true</IsMainPartyType>
        <CaseDisplayIdentifier>20437-03-24</CaseDisplayIdentifier>
        <CaseTypeID>15</CaseTypeID>
        <CaseTypeName>תיק משפחה (תמ"ש)</CaseTypeName>
        <CaseName>נמר נ' נמר</CaseName>
        <FullAddress>האחות יהודית 236 ירושלים </FullAddress>
        <EmailAddress>1reuven1@walla.com</EmailAddress>
        <MotionID>0</MotionID>
        <CasePleaID>0</CasePleaID>
        <LinkedCaseID>0</LinkedCaseID>
        <PartyID>2</PartyID>
        <CasePartyCategoryID>2</CasePartyCategoryID>
        <LegalEntityAddressID>85811125</LegalEntityAddressID>
        <LegalEntityEmailAddressID>68149162</LegalEntityEmailAddressID>
        <PleaTypeID>4</PleaTypeID>
        <LawyerOfficeName>משרד עו"ד ראובן נחום</LawyerOfficeName>
        <LawyerOfficeID>80118233</LawyerOfficeID>
        <GroupPartyAlias/>
        <IsConverted>false</IsConverted>
        <LegalEntityNameID>92215327</LegalEntityNameID>
        <RepresentatedNamesOfAssistant/>
        <LegalEntityTypeID>4</LegalEntityTypeID>
        <IsVerdictExists>false</IsVerdictExists>
        <IsAsirAzir>false</IsAsirAzir>
        <MainAndSecSpec/>
        <IsPublicationProhibited>false</IsPublicationProhibited>
        <PublicationProhibitedFullName>ראובן נחום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לינא נמר</FullName>
        <FirstName>לינא</FirstName>
        <LastName>נמר</LastName>
        <PartyPropertyName/>
        <AuthenticationTypeAndNumber>ת"ז 029877131</AuthenticationTypeAndNumber>
        <RepresentatedOrRepresentativesNames>נביל אזחימאן</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267464484</CasePartyID>
        <PartyTypeID>1</PartyTypeID>
        <ActivityStatusID>1</ActivityStatusID>
        <PartyAliasID>1</PartyAliasID>
        <PartyAliasName>תובע</PartyAliasName>
        <OrdinalNumber>1</OrdinalNumber>
        <LegalEntityID>81088804</LegalEntityID>
        <CaseLegalEntityID>128085178</CaseLegalEntityID>
        <AuthenticationTypeID>1</AuthenticationTypeID>
        <AuthenticationTypeName>ת"ז</AuthenticationTypeName>
        <LegalEntityNumber>029877131</LegalEntityNumber>
        <IsMainPartyType>true</IsMainPartyType>
        <CaseDisplayIdentifier>20437-03-24</CaseDisplayIdentifier>
        <CaseTypeID>15</CaseTypeID>
        <CaseTypeName>תיק משפחה (תמ"ש)</CaseTypeName>
        <CaseName>נמר נ' נמר</CaseName>
        <FullAddress/>
        <MotionID>0</MotionID>
        <CasePleaID>0</CasePleaID>
        <FatherName>אבראהים</FatherName>
        <LinkedCaseID>0</LinkedCaseID>
        <PartyID>1</PartyID>
        <CasePartyCategoryID>2</CasePartyCategoryID>
        <PleaTypeID>4</PleaTypeID>
        <GroupPartyAlias>תובעים</GroupPartyAlias>
        <IsConverted>false</IsConverted>
        <LegalEntityRegisteredNameID>10268232</LegalEntityRegisteredNameID>
        <LegalEntityNameID>96270250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לינא נמר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נביל אזחימאן</FullName>
        <FirstName>נביל</FirstName>
        <LastName>אזחימאן</LastName>
        <PartyPropertyName/>
        <AuthenticationTypeAndNumber>מ.ר. 16594</AuthenticationTypeAndNumber>
        <RepresentatedOrRepresentativesNames>לינא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267464485</CasePartyID>
        <PartyTypeID>2</PartyTypeID>
        <ActivityStatusID>1</ActivityStatusID>
        <PartyAliasID>20</PartyAliasID>
        <PartyAliasName>בא כוח תובעים</PartyAliasName>
        <OrdinalNumber>1</OrdinalNumber>
        <LegalEntityID>387606</LegalEntityID>
        <CaseLegalEntityID>128085179</CaseLegalEntityID>
        <AuthenticationTypeID>4</AuthenticationTypeID>
        <AuthenticationTypeName>מ.ר.</AuthenticationTypeName>
        <LegalEntityNumber>16594</LegalEntityNumber>
        <IsMainPartyType>true</IsMainPartyType>
        <CaseDisplayIdentifier>20437-03-24</CaseDisplayIdentifier>
        <CaseTypeID>15</CaseTypeID>
        <CaseTypeName>תיק משפחה (תמ"ש)</CaseTypeName>
        <CaseName>נמר נ' נמר</CaseName>
        <FullAddress>ניהאד אבו ע'רבייה 14 ירושלים </FullAddress>
        <EmailAddress>izhiman@icloud.com</EmailAddress>
        <MotionID>0</MotionID>
        <CasePleaID>0</CasePleaID>
        <LinkedCaseID>0</LinkedCaseID>
        <PartyID>1</PartyID>
        <CasePartyCategoryID>2</CasePartyCategoryID>
        <LegalEntityAddressID>87237216</LegalEntityAddressID>
        <LegalEntityEmailAddressID>68262822</LegalEntityEmailAddressID>
        <PleaTypeID>4</PleaTypeID>
        <LawyerOfficeName>משרד עו"ד: נביל אזחימאן</LawyerOfficeName>
        <LawyerOfficeID>428250</LawyerOfficeID>
        <GroupPartyAlias/>
        <IsConverted>false</IsConverted>
        <LegalEntityNameID>8590</LegalEntityNameID>
        <RepresentatedNamesOfAssistant/>
        <LegalEntityTypeID>4</LegalEntityTypeID>
        <IsVerdictExists>false</IsVerdictExists>
        <IsAsirAzir>false</IsAsirAzir>
        <MainAndSecSpec/>
        <IsPublicationProhibited>false</IsPublicationProhibited>
        <PublicationProhibitedFullName>נביל אזחימאן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ויולית נמר</FullName>
        <FirstName>ויולית</FirstName>
        <LastName>נמר</LastName>
        <PartyPropertyName/>
        <AuthenticationTypeAndNumber>ת"ז 038693693</AuthenticationTypeAndNumber>
        <RepresentatedOrRepresentativesNames>ראובן נחום, נזי ריאן</RepresentatedOrRepresentativesNames>
        <RepresentatedOrRepresentativesCount>2</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267464486</CasePartyID>
        <PartyTypeID>1</PartyTypeID>
        <ActivityStatusID>1</ActivityStatusID>
        <PartyAliasID>2</PartyAliasID>
        <PartyAliasName>נתבע</PartyAliasName>
        <OrdinalNumber>1</OrdinalNumber>
        <LegalEntityID>74569858</LegalEntityID>
        <CaseLegalEntityID>128085180</CaseLegalEntityID>
        <AuthenticationTypeID>1</AuthenticationTypeID>
        <AuthenticationTypeName>ת"ז</AuthenticationTypeName>
        <LegalEntityNumber>038693693</LegalEntityNumber>
        <IsMainPartyType>true</IsMainPartyType>
        <CaseDisplayIdentifier>20437-03-24</CaseDisplayIdentifier>
        <CaseTypeID>15</CaseTypeID>
        <CaseTypeName>תיק משפחה (תמ"ש)</CaseTypeName>
        <CaseName>נמר נ' נמר</CaseName>
        <FullAddress>ביר עונה ירושלים </FullAddress>
        <MotionID>0</MotionID>
        <CasePleaID>0</CasePleaID>
        <BirthDate>1984-02-26T00:00:00+02:00</BirthDate>
        <FatherName>גורג</FatherName>
        <LinkedCaseID>0</LinkedCaseID>
        <PartyID>2</PartyID>
        <CasePartyCategoryID>2</CasePartyCategoryID>
        <LegalEntityAddressID>89058927</LegalEntityAddressID>
        <PleaTypeID>4</PleaTypeID>
        <GroupPartyAlias>נתבעים</GroupPartyAlias>
        <IsConverted>false</IsConverted>
        <LegalEntityRegisteredNameID>8690913</LegalEntityRegisteredNameID>
        <LegalEntityNameID>96270251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ויולית נמר</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2024-09-24T09:18:28.3387784+03:00</DecisionSignatureDate>
    <OpenCaseDate>2024-03-10T15:31:00+02:00</OpenCaseDate>
    <CaseFeeSum>56410.000</CaseFeeSum>
    <DecisionTypeID>1</DecisionTypeID>
    <DecisionSignatureUserName>פליקס גורודצקי</DecisionSignatureUserName>
    <DecisionSignatureDateHebrew>2024-09-24T09:18:28.3387784+03:00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נמר נ' נמר</CaseName>
    <DecisionNumberInCase>16</DecisionNumberInCase>
  </dt_Decision>
  <dt_DecisionCase>
    <DecisionID>0</DecisionID>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נזי ריאן</FullName>
        <FirstName>נזי</FirstName>
        <LastName>ריאן</LastName>
        <PartyPropertyName/>
        <AuthenticationTypeAndNumber>מ.ר. 52654</AuthenticationTypeAndNumber>
        <RepresentatedOrRepresentativesNames>ויולית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276068419</CasePartyID>
        <PartyTypeID>2</PartyTypeID>
        <ActivityStatusID>1</ActivityStatusID>
        <PartyAliasID>21</PartyAliasID>
        <PartyAliasName>בא כוח נתבעים</PartyAliasName>
        <LegalEntityID>33128773</LegalEntityID>
        <CaseLegalEntityID>131766848</CaseLegalEntityID>
        <AuthenticationTypeID>4</AuthenticationTypeID>
        <AuthenticationTypeName>מ.ר.</AuthenticationTypeName>
        <LegalEntityNumber>52654</LegalEntityNumber>
        <IsMainPartyType>true</IsMainPartyType>
        <CaseDisplayIdentifier>20437-03-24</CaseDisplayIdentifier>
        <CaseTypeID>15</CaseTypeID>
        <CaseTypeName>תיק משפחה (תמ"ש)</CaseTypeName>
        <CaseName>נמר נ' נמר</CaseName>
        <FullAddress>כפר ברא כפר ברא </FullAddress>
        <EmailAddress>nazihryyan@gmail.com</EmailAddress>
        <MotionID>0</MotionID>
        <CasePleaID>0</CasePleaID>
        <LinkedCaseID>0</LinkedCaseID>
        <PartyID>2</PartyID>
        <CasePartyCategoryID>2</CasePartyCategoryID>
        <LegalEntityAddressID>71391676</LegalEntityAddressID>
        <LegalEntityEmailAddressID>31824020</LegalEntityEmailAddressID>
        <PleaTypeID>4</PleaTypeID>
        <LawyerOfficeName>משרד עו"ד נזי ריאן</LawyerOfficeName>
        <LawyerOfficeID>33128774</LawyerOfficeID>
        <GroupPartyAlias/>
        <IsConverted>false</IsConverted>
        <LegalEntityNameID>34919144</LegalEntityNameID>
        <RepresentatedNamesOfAssistant/>
        <LegalEntityTypeID>4</LegalEntityTypeID>
        <IsVerdictExists>false</IsVerdictExists>
        <IsAsirAzir>false</IsAsirAzir>
        <MainAndSecSpec/>
        <IsPublicationProhibited>false</IsPublicationProhibited>
        <PublicationProhibitedFullName>נזי ריאן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ראובן נחום</FullName>
        <FirstName>ראובן</FirstName>
        <LastName>נחום</LastName>
        <PartyPropertyName/>
        <AuthenticationTypeAndNumber>מ.ר. 84342</AuthenticationTypeAndNumber>
        <RepresentatedOrRepresentativesNames>ויולית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270021310</CasePartyID>
        <PartyTypeID>2</PartyTypeID>
        <ActivityStatusID>1</ActivityStatusID>
        <PartyAliasID>21</PartyAliasID>
        <PartyAliasName>בא כוח נתבעים</PartyAliasName>
        <LegalEntityID>80118232</LegalEntityID>
        <CaseLegalEntityID>128838816</CaseLegalEntityID>
        <AuthenticationTypeID>4</AuthenticationTypeID>
        <AuthenticationTypeName>מ.ר.</AuthenticationTypeName>
        <LegalEntityNumber>84342</LegalEntityNumber>
        <IsMainPartyType>true</IsMainPartyType>
        <CaseDisplayIdentifier>20437-03-24</CaseDisplayIdentifier>
        <CaseTypeID>15</CaseTypeID>
        <CaseTypeName>תיק משפחה (תמ"ש)</CaseTypeName>
        <CaseName>נמר נ' נמר</CaseName>
        <FullAddress>האחות יהודית 236 ירושלים </FullAddress>
        <EmailAddress>1reuven1@walla.com</EmailAddress>
        <MotionID>0</MotionID>
        <CasePleaID>0</CasePleaID>
        <LinkedCaseID>0</LinkedCaseID>
        <PartyID>2</PartyID>
        <CasePartyCategoryID>2</CasePartyCategoryID>
        <LegalEntityAddressID>85811125</LegalEntityAddressID>
        <LegalEntityEmailAddressID>68149162</LegalEntityEmailAddressID>
        <PleaTypeID>4</PleaTypeID>
        <LawyerOfficeName>משרד עו"ד ראובן נחום</LawyerOfficeName>
        <LawyerOfficeID>80118233</LawyerOfficeID>
        <GroupPartyAlias/>
        <IsConverted>false</IsConverted>
        <LegalEntityNameID>92215327</LegalEntityNameID>
        <RepresentatedNamesOfAssistant/>
        <LegalEntityTypeID>4</LegalEntityTypeID>
        <IsVerdictExists>false</IsVerdictExists>
        <IsAsirAzir>false</IsAsirAzir>
        <MainAndSecSpec/>
        <IsPublicationProhibited>false</IsPublicationProhibited>
        <PublicationProhibitedFullName>ראובן נחום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לינא נמר</FullName>
        <FirstName>לינא</FirstName>
        <LastName>נמר</LastName>
        <PartyPropertyName/>
        <AuthenticationTypeAndNumber>ת"ז 029877131</AuthenticationTypeAndNumber>
        <RepresentatedOrRepresentativesNames>נביל אזחימאן</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267464484</CasePartyID>
        <PartyTypeID>1</PartyTypeID>
        <ActivityStatusID>1</ActivityStatusID>
        <PartyAliasID>1</PartyAliasID>
        <PartyAliasName>תובע</PartyAliasName>
        <OrdinalNumber>1</OrdinalNumber>
        <LegalEntityID>81088804</LegalEntityID>
        <CaseLegalEntityID>128085178</CaseLegalEntityID>
        <AuthenticationTypeID>1</AuthenticationTypeID>
        <AuthenticationTypeName>ת"ז</AuthenticationTypeName>
        <LegalEntityNumber>029877131</LegalEntityNumber>
        <IsMainPartyType>true</IsMainPartyType>
        <CaseDisplayIdentifier>20437-03-24</CaseDisplayIdentifier>
        <CaseTypeID>15</CaseTypeID>
        <CaseTypeName>תיק משפחה (תמ"ש)</CaseTypeName>
        <CaseName>נמר נ' נמר</CaseName>
        <FullAddress/>
        <MotionID>0</MotionID>
        <CasePleaID>0</CasePleaID>
        <FatherName>אבראהים</FatherName>
        <LinkedCaseID>0</LinkedCaseID>
        <PartyID>1</PartyID>
        <CasePartyCategoryID>2</CasePartyCategoryID>
        <PleaTypeID>4</PleaTypeID>
        <GroupPartyAlias>תובעים</GroupPartyAlias>
        <IsConverted>false</IsConverted>
        <LegalEntityRegisteredNameID>10268232</LegalEntityRegisteredNameID>
        <LegalEntityNameID>96270250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לינא נמר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נביל אזחימאן</FullName>
        <FirstName>נביל</FirstName>
        <LastName>אזחימאן</LastName>
        <PartyPropertyName/>
        <AuthenticationTypeAndNumber>מ.ר. 16594</AuthenticationTypeAndNumber>
        <RepresentatedOrRepresentativesNames>לינא נמר</RepresentatedOrRepresentativesNames>
        <RepresentatedOrRepresentativesCount>1</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267464485</CasePartyID>
        <PartyTypeID>2</PartyTypeID>
        <ActivityStatusID>1</ActivityStatusID>
        <PartyAliasID>20</PartyAliasID>
        <PartyAliasName>בא כוח תובעים</PartyAliasName>
        <OrdinalNumber>1</OrdinalNumber>
        <LegalEntityID>387606</LegalEntityID>
        <CaseLegalEntityID>128085179</CaseLegalEntityID>
        <AuthenticationTypeID>4</AuthenticationTypeID>
        <AuthenticationTypeName>מ.ר.</AuthenticationTypeName>
        <LegalEntityNumber>16594</LegalEntityNumber>
        <IsMainPartyType>true</IsMainPartyType>
        <CaseDisplayIdentifier>20437-03-24</CaseDisplayIdentifier>
        <CaseTypeID>15</CaseTypeID>
        <CaseTypeName>תיק משפחה (תמ"ש)</CaseTypeName>
        <CaseName>נמר נ' נמר</CaseName>
        <FullAddress>ניהאד אבו ע'רבייה 14 ירושלים </FullAddress>
        <EmailAddress>izhiman@icloud.com</EmailAddress>
        <MotionID>0</MotionID>
        <CasePleaID>0</CasePleaID>
        <LinkedCaseID>0</LinkedCaseID>
        <PartyID>1</PartyID>
        <CasePartyCategoryID>2</CasePartyCategoryID>
        <LegalEntityAddressID>87237216</LegalEntityAddressID>
        <LegalEntityEmailAddressID>68262822</LegalEntityEmailAddressID>
        <PleaTypeID>4</PleaTypeID>
        <LawyerOfficeName>משרד עו"ד: נביל אזחימאן</LawyerOfficeName>
        <LawyerOfficeID>428250</LawyerOfficeID>
        <GroupPartyAlias/>
        <IsConverted>false</IsConverted>
        <LegalEntityNameID>8590</LegalEntityNameID>
        <RepresentatedNamesOfAssistant/>
        <LegalEntityTypeID>4</LegalEntityTypeID>
        <IsVerdictExists>false</IsVerdictExists>
        <IsAsirAzir>false</IsAsirAzir>
        <MainAndSecSpec/>
        <IsPublicationProhibited>false</IsPublicationProhibited>
        <PublicationProhibitedFullName>נביל אזחימאן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ויולית נמר</FullName>
        <FirstName>ויולית</FirstName>
        <LastName>נמר</LastName>
        <PartyPropertyName/>
        <AuthenticationTypeAndNumber>ת"ז 038693693</AuthenticationTypeAndNumber>
        <RepresentatedOrRepresentativesNames>ראובן נחום, נזי ריאן</RepresentatedOrRepresentativesNames>
        <RepresentatedOrRepresentativesCount>2</RepresentatedOrRepresentativesCount>
        <InvitedBy/>
        <CaseID>81058382</CaseID>
        <CaseJudicialPersonPresentationDS>
          <CaseJudicalPersonActive>
            <CaseID>81058382</CaseID>
            <JudicialPersonID>306840554@GOV.IL</JudicialPersonID>
            <JudicialPersonTypeID>1</JudicialPersonTypeID>
            <JudicialTypeID>1</JudicialTypeID>
            <IsChairman>false</IsChairman>
            <TreatmentStartDate>2024-03-10T15:37:29.037+02:00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267464486</CasePartyID>
        <PartyTypeID>1</PartyTypeID>
        <ActivityStatusID>1</ActivityStatusID>
        <PartyAliasID>2</PartyAliasID>
        <PartyAliasName>נתבע</PartyAliasName>
        <OrdinalNumber>1</OrdinalNumber>
        <LegalEntityID>74569858</LegalEntityID>
        <CaseLegalEntityID>128085180</CaseLegalEntityID>
        <AuthenticationTypeID>1</AuthenticationTypeID>
        <AuthenticationTypeName>ת"ז</AuthenticationTypeName>
        <LegalEntityNumber>038693693</LegalEntityNumber>
        <IsMainPartyType>true</IsMainPartyType>
        <CaseDisplayIdentifier>20437-03-24</CaseDisplayIdentifier>
        <CaseTypeID>15</CaseTypeID>
        <CaseTypeName>תיק משפחה (תמ"ש)</CaseTypeName>
        <CaseName>נמר נ' נמר</CaseName>
        <FullAddress>ביר עונה ירושלים </FullAddress>
        <MotionID>0</MotionID>
        <CasePleaID>0</CasePleaID>
        <BirthDate>1984-02-26T00:00:00+02:00</BirthDate>
        <FatherName>גורג</FatherName>
        <LinkedCaseID>0</LinkedCaseID>
        <PartyID>2</PartyID>
        <CasePartyCategoryID>2</CasePartyCategoryID>
        <LegalEntityAddressID>89058927</LegalEntityAddressID>
        <PleaTypeID>4</PleaTypeID>
        <GroupPartyAlias>נתבעים</GroupPartyAlias>
        <IsConverted>false</IsConverted>
        <LegalEntityRegisteredNameID>8690913</LegalEntityRegisteredNameID>
        <LegalEntityNameID>96270251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ויולית נמר</PublicationProhibitedFullName>
      </CaseParties>
    </CasePartiesSelectionDS>
    <CaseName>נמר נ' נמר</CaseName>
    <CaseDisplayIdentifier>20437-03-24</CaseDisplayIdentifier>
    <CaseInterestID>10115</CaseInterestID>
    <CaseTypeShortName>תמ"ש</CaseTypeShortName>
  </dt_DecisionCase>
  <dt_DecisionJudgePanel>
    <JudgeID>306840554@GOV.IL</JudgeID>
    <DisplayName>פליקס גורודצקי</DisplayName>
    <RoleName>שופט</RoleName>
    <UserTitleName>שופט</UserTitleName>
  </dt_DecisionJudgePanel>
  <dt_LegalEntityDetails>
    <PartyID>2</PartyID>
    <PartyTypeID>2</PartyTypeID>
    <DecisionID>0</DecisionID>
    <StreetName>האחות יהודית 236</StreetName>
    <ZipCode>9390608</ZipCode>
    <CityName>ירושלים</CityName>
    <FullName>ראובן נחום</FullName>
    <Email>1reuven1@walla.com</Email>
    <IsPublicationProhibited>false</IsPublicationProhibited>
  </dt_LegalEntityDetails>
  <dt_LegalEntityDetails>
    <Fax>03-9396372</Fax>
    <Phone>03-9396372</Phone>
    <PartyID>2</PartyID>
    <PartyTypeID>2</PartyTypeID>
    <DecisionID>0</DecisionID>
    <StreetName>כפר ברא</StreetName>
    <ZipCode>45863</ZipCode>
    <CityName>כפר ברא</CityName>
    <FullName>נזי ריאן</FullName>
    <Email>nazihryyan@gmail.com</Email>
    <IsPublicationProhibited>false</IsPublicationProhibited>
  </dt_LegalEntityDetails>
  <dt_LegalEntityDetails>
    <PartyID>1</PartyID>
    <PartyTypeID>1</PartyTypeID>
    <DecisionID>0</DecisionID>
    <FullName>לינא נמר</FullName>
    <IsPublicationProhibited>false</IsPublicationProhibited>
  </dt_LegalEntityDetails>
  <dt_LegalEntityDetails>
    <Fax>077-4701090</Fax>
    <Phone>052-2465566</Phone>
    <AddressDesc/>
    <PartyID>1</PartyID>
    <PartyTypeID>2</PartyTypeID>
    <DecisionID>0</DecisionID>
    <StreetName>ניהאד אבו ע'רבייה 14</StreetName>
    <ZipCode>9790004</ZipCode>
    <CityName>ירושלים</CityName>
    <FullName>נביל אזחימאן</FullName>
    <Email>izhiman@icloud.com</Email>
    <IsPublicationProhibited>false</IsPublicationProhibited>
  </dt_LegalEntityDetails>
  <dt_LegalEntityDetails>
    <PartyID>2</PartyID>
    <PartyTypeID>1</PartyTypeID>
    <DecisionID>0</DecisionID>
    <StreetName>ביר עונה</StreetName>
    <CityName>ירושלים</CityName>
    <FullName>ויולית נמר</FullName>
    <IsPublicationProhibited>false</IsPublicationProhibited>
  </dt_LegalEntityDetails>
  <dt_CaseJudicalPersonActive>
    <CaseJudicalPerson>שופט פליקס גורודצקי</CaseJudicalPerson>
  </dt_CaseJudicalPersonActive>
  <dt_Sitting>
    <PreviousMeetingDate>2024-09-23T11:30:00+03:00</PreviousMeetingDate>
    <PreviousSittingTypeID>38</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36D9-A2B6-437A-B8F3-88CFF06D567D}">
  <ds:schemaRefs/>
</ds:datastoreItem>
</file>

<file path=customXml/itemProps2.xml><?xml version="1.0" encoding="utf-8"?>
<ds:datastoreItem xmlns:ds="http://schemas.openxmlformats.org/officeDocument/2006/customXml" ds:itemID="{DAF706CB-1481-4D48-90C9-C3670901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1254</Words>
  <Characters>6271</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2024-10-20T06:26:00Z</cp:lastPrinted>
  <dcterms:created xsi:type="dcterms:W3CDTF">2024-10-29T07:47:00Z</dcterms:created>
  <dcterms:modified xsi:type="dcterms:W3CDTF">2024-10-29T07:47:00Z</dcterms:modified>
</cp:coreProperties>
</file>